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RLdajeosmluvnstran"/>
        <w:spacing w:lineRule="auto" w:line="276"/>
        <w:rPr>
          <w:rFonts w:cs="Arial"/>
          <w:b/>
          <w:b/>
          <w:bCs/>
          <w:caps/>
          <w:spacing w:val="40"/>
          <w:kern w:val="2"/>
          <w:sz w:val="32"/>
          <w:szCs w:val="32"/>
          <w:lang w:eastAsia="cs-CZ"/>
        </w:rPr>
      </w:pPr>
      <w:bookmarkStart w:id="0" w:name="_Hlk103155216"/>
      <w:r>
        <w:rPr>
          <w:rFonts w:cs="Arial"/>
          <w:b/>
          <w:bCs/>
          <w:caps/>
          <w:spacing w:val="40"/>
          <w:kern w:val="2"/>
          <w:sz w:val="32"/>
          <w:szCs w:val="32"/>
          <w:lang w:eastAsia="cs-CZ"/>
        </w:rPr>
        <w:t>Smlouva o poskytování technické podpory a dalších služeb</w:t>
      </w:r>
      <w:bookmarkEnd w:id="0"/>
    </w:p>
    <w:p>
      <w:pPr>
        <w:pStyle w:val="RLdajeosmluvnstran"/>
        <w:rPr/>
      </w:pPr>
      <w:r>
        <w:rPr>
          <w:rStyle w:val="Kurzva"/>
          <w:b/>
          <w:highlight w:val="yellow"/>
        </w:rPr>
        <w:t xml:space="preserve">číslo </w:t>
      </w:r>
      <w:r>
        <w:rPr>
          <w:rStyle w:val="Kurzva"/>
          <w:b/>
        </w:rPr>
        <w:t>……………..</w:t>
      </w:r>
    </w:p>
    <w:p>
      <w:pPr>
        <w:pStyle w:val="RLdajeosmluvnstran"/>
        <w:rPr/>
      </w:pPr>
      <w:r>
        <w:rPr/>
        <w:t>Smluvní strany:</w:t>
      </w:r>
    </w:p>
    <w:p>
      <w:pPr>
        <w:pStyle w:val="RLdajeosmluvnstran"/>
        <w:rPr/>
      </w:pPr>
      <w:r>
        <w:rPr/>
      </w:r>
    </w:p>
    <w:p>
      <w:pPr>
        <w:pStyle w:val="RLProhlensmluvnchstran"/>
        <w:rPr>
          <w:highlight w:val="yellow"/>
        </w:rPr>
      </w:pPr>
      <w:r>
        <w:rPr/>
        <w:t>VERA, spol. s r.o.</w:t>
      </w:r>
    </w:p>
    <w:p>
      <w:pPr>
        <w:pStyle w:val="RLdajeosmluvnstran"/>
        <w:rPr/>
      </w:pPr>
      <w:r>
        <w:rPr/>
        <w:t>se sídlem: Praha 6 - Vokovice, Lužná 716/2 </w:t>
      </w:r>
    </w:p>
    <w:p>
      <w:pPr>
        <w:pStyle w:val="RLdajeosmluvnstran"/>
        <w:rPr/>
      </w:pPr>
      <w:r>
        <w:rPr/>
        <w:t>kontaktní adresa: Klicperovo nám. 39/I, 503 51 Chlumec nad Cidlinou</w:t>
      </w:r>
    </w:p>
    <w:p>
      <w:pPr>
        <w:pStyle w:val="RLdajeosmluvnstran"/>
        <w:rPr/>
      </w:pPr>
      <w:r>
        <w:rPr/>
        <w:t>IČ: 62587978, DIČ: CZ62587978</w:t>
      </w:r>
    </w:p>
    <w:p>
      <w:pPr>
        <w:pStyle w:val="RLdajeosmluvnstran"/>
        <w:rPr/>
      </w:pPr>
      <w:r>
        <w:rPr/>
        <w:t>společnost zapsaná v obchodním rejstříku vedeném Městským soudem v Praze,</w:t>
      </w:r>
    </w:p>
    <w:p>
      <w:pPr>
        <w:pStyle w:val="RLdajeosmluvnstran"/>
        <w:rPr/>
      </w:pPr>
      <w:r>
        <w:rPr/>
        <w:t>oddíl C, vložka 34140</w:t>
      </w:r>
    </w:p>
    <w:p>
      <w:pPr>
        <w:pStyle w:val="RLdajeosmluvnstran"/>
        <w:rPr/>
      </w:pPr>
      <w:r>
        <w:rPr/>
        <w:t>bankovní spojení: Fio banka, a.s., číslo účtu: 2400431298/2010</w:t>
      </w:r>
    </w:p>
    <w:p>
      <w:pPr>
        <w:pStyle w:val="RLdajeosmluvnstran"/>
        <w:rPr/>
      </w:pPr>
      <w:r>
        <w:rPr/>
        <w:t>odpovědná osoba a e-mail pro záležitosti obchodní: Ing. Jiří Matoušek, jednatel</w:t>
      </w:r>
    </w:p>
    <w:p>
      <w:pPr>
        <w:pStyle w:val="RLdajeosmluvnstran"/>
        <w:rPr/>
      </w:pPr>
      <w:r>
        <w:rPr/>
        <w:t>jiri.matousek@vera.cz</w:t>
      </w:r>
    </w:p>
    <w:p>
      <w:pPr>
        <w:pStyle w:val="RLdajeosmluvnstran"/>
        <w:rPr/>
      </w:pPr>
      <w:r>
        <w:rPr/>
        <w:t>odpovědná osoba a e-mail pro záležitosti technické: Václav Bareš, Key Account Manager</w:t>
      </w:r>
    </w:p>
    <w:p>
      <w:pPr>
        <w:pStyle w:val="RLdajeosmluvnstran"/>
        <w:rPr/>
      </w:pPr>
      <w:r>
        <w:rPr/>
        <w:t>vaclav.bares@vera.cz</w:t>
      </w:r>
    </w:p>
    <w:p>
      <w:pPr>
        <w:pStyle w:val="RLdajeosmluvnstran"/>
        <w:rPr/>
      </w:pPr>
      <w:r>
        <w:rPr/>
        <w:t>e-mail pro zasílání objednávek: fakturace@vera.cz</w:t>
      </w:r>
    </w:p>
    <w:p>
      <w:pPr>
        <w:pStyle w:val="RLdajeosmluvnstran"/>
        <w:rPr/>
      </w:pPr>
      <w:r>
        <w:rPr/>
        <w:t xml:space="preserve"> </w:t>
      </w:r>
      <w:r>
        <w:rPr/>
        <w:t>(dále jen „</w:t>
      </w:r>
      <w:r>
        <w:rPr>
          <w:b/>
        </w:rPr>
        <w:t>Poskytovatel</w:t>
      </w:r>
      <w:r>
        <w:rPr/>
        <w:t>“)</w:t>
      </w:r>
    </w:p>
    <w:p>
      <w:pPr>
        <w:pStyle w:val="RLdajeosmluvnstran"/>
        <w:rPr/>
      </w:pPr>
      <w:r>
        <w:rPr/>
      </w:r>
    </w:p>
    <w:p>
      <w:pPr>
        <w:pStyle w:val="RLdajeosmluvnstran"/>
        <w:rPr/>
      </w:pPr>
      <w:r>
        <w:rPr/>
        <w:t>a </w:t>
      </w:r>
    </w:p>
    <w:p>
      <w:pPr>
        <w:pStyle w:val="RLdajeosmluvnstran"/>
        <w:rPr/>
      </w:pPr>
      <w:r>
        <w:rPr/>
      </w:r>
    </w:p>
    <w:p>
      <w:pPr>
        <w:pStyle w:val="RLProhlensmluvnchstran"/>
        <w:rPr/>
      </w:pPr>
      <w:r>
        <w:rPr/>
        <w:t>Město Český Krumlov</w:t>
      </w:r>
    </w:p>
    <w:p>
      <w:pPr>
        <w:pStyle w:val="RLdajeosmluvnstran"/>
        <w:rPr/>
      </w:pPr>
      <w:r>
        <w:rPr/>
        <w:t>se sídlem: náměstí Svornosti 1, 381 01 Český Krumlov</w:t>
      </w:r>
    </w:p>
    <w:p>
      <w:pPr>
        <w:pStyle w:val="RLdajeosmluvnstran"/>
        <w:rPr/>
      </w:pPr>
      <w:r>
        <w:rPr/>
        <w:t>IČ: 00245836, DIČ: CZ00245836</w:t>
      </w:r>
    </w:p>
    <w:p>
      <w:pPr>
        <w:pStyle w:val="RLdajeosmluvnstran"/>
        <w:rPr/>
      </w:pPr>
      <w:r>
        <w:rPr/>
        <w:t>bankovní spojení: Komerční banka a.s., číslo účtu: 221241/0100</w:t>
      </w:r>
    </w:p>
    <w:p>
      <w:pPr>
        <w:pStyle w:val="RLdajeosmluvnstran"/>
        <w:spacing w:lineRule="exact" w:line="240"/>
        <w:rPr/>
      </w:pPr>
      <w:r>
        <w:rPr/>
        <w:t>odpovědná osoba a e-mail pro záležitosti obchodní: Mgr. Dalibor Carda, starosta</w:t>
      </w:r>
    </w:p>
    <w:p>
      <w:pPr>
        <w:pStyle w:val="RLdajeosmluvnstran"/>
        <w:spacing w:lineRule="exact" w:line="240"/>
        <w:rPr/>
      </w:pPr>
      <w:r>
        <w:rPr/>
        <w:t xml:space="preserve">dalibor.carda@ckrumlov.cz </w:t>
      </w:r>
    </w:p>
    <w:p>
      <w:pPr>
        <w:pStyle w:val="RLdajeosmluvnstran"/>
        <w:rPr/>
      </w:pPr>
      <w:r>
        <w:rPr/>
        <w:t>odpovědná osoba a e-mail pro záležitosti technické: Bc. Tomáš Kubát, tomas.kubat@ckrumlov.cz</w:t>
      </w:r>
    </w:p>
    <w:p>
      <w:pPr>
        <w:pStyle w:val="RLdajeosmluvnstran"/>
        <w:rPr/>
      </w:pPr>
      <w:r>
        <w:rPr/>
        <w:t>(dále jen „</w:t>
      </w:r>
      <w:r>
        <w:rPr>
          <w:b/>
        </w:rPr>
        <w:t>Nabyvatel</w:t>
      </w:r>
      <w:r>
        <w:rPr/>
        <w:t>“)</w:t>
      </w:r>
    </w:p>
    <w:p>
      <w:pPr>
        <w:pStyle w:val="RLdajeosmluvnstran"/>
        <w:jc w:val="left"/>
        <w:rPr/>
      </w:pPr>
      <w:r>
        <w:rPr/>
      </w:r>
    </w:p>
    <w:p>
      <w:pPr>
        <w:pStyle w:val="RLdajeosmluvnstran"/>
        <w:rPr/>
      </w:pPr>
      <w:r>
        <w:rPr/>
        <w:t>dnešního dne uzavřely tuto smlouvu v souladu s ustanovením § 1746 odst. 2 zákona č. 89/2012 Sb., občanského zákoníku, v platném znění (dále jen „</w:t>
      </w:r>
      <w:r>
        <w:rPr>
          <w:b/>
        </w:rPr>
        <w:t>občanský zákoník</w:t>
      </w:r>
      <w:r>
        <w:rPr/>
        <w:t>“ nebo „</w:t>
      </w:r>
      <w:r>
        <w:rPr>
          <w:rStyle w:val="RLProhlensmluvnchstranChar"/>
        </w:rPr>
        <w:t>OZ</w:t>
      </w:r>
      <w:r>
        <w:rPr/>
        <w:t>“)</w:t>
      </w:r>
    </w:p>
    <w:p>
      <w:pPr>
        <w:pStyle w:val="RLdajeosmluvnstran"/>
        <w:rPr/>
      </w:pPr>
      <w:r>
        <w:rPr/>
        <w:t>(dále jen „</w:t>
      </w:r>
      <w:r>
        <w:rPr>
          <w:rStyle w:val="RLProhlensmluvnchstranChar"/>
        </w:rPr>
        <w:t>Smlouva</w:t>
      </w:r>
      <w:r>
        <w:rPr/>
        <w:t>“)</w:t>
      </w:r>
      <w:r>
        <w:br w:type="page"/>
      </w:r>
    </w:p>
    <w:p>
      <w:pPr>
        <w:pStyle w:val="RLProhlensmluvnchstran"/>
        <w:rPr/>
      </w:pPr>
      <w:r>
        <w:rPr/>
        <w:t>Smluvní strany, vědomy si svých závazků v této Smlouvě obsažených a s úmyslem být touto Smlouvou vázány, dohodly se na následujícím znění Smlouvy:</w:t>
      </w:r>
    </w:p>
    <w:p>
      <w:pPr>
        <w:pStyle w:val="RLlneksmlouvy"/>
        <w:numPr>
          <w:ilvl w:val="0"/>
          <w:numId w:val="1"/>
        </w:numPr>
        <w:rPr/>
      </w:pPr>
      <w:r>
        <w:rPr/>
        <w:t>ÚVODNÍ USTANOVENÍ</w:t>
      </w:r>
    </w:p>
    <w:p>
      <w:pPr>
        <w:pStyle w:val="RLTextlnkuslovan"/>
        <w:numPr>
          <w:ilvl w:val="1"/>
          <w:numId w:val="1"/>
        </w:numPr>
        <w:rPr>
          <w:lang w:eastAsia="en-US"/>
        </w:rPr>
      </w:pPr>
      <w:r>
        <w:rPr/>
        <w:t>Tato Sml</w:t>
      </w:r>
      <w:r>
        <w:rPr>
          <w:lang w:eastAsia="en-US"/>
        </w:rPr>
        <w:t>ouva se řídí obchodními podmínkami Poskytovatele pro poskytování software, které tvoří samostatnou přílohu č. 5 této Smlouvy (dále jen „</w:t>
      </w:r>
      <w:r>
        <w:rPr>
          <w:b/>
          <w:lang w:eastAsia="en-US"/>
        </w:rPr>
        <w:t>Obchodní podmínky</w:t>
      </w:r>
      <w:r>
        <w:rPr>
          <w:lang w:eastAsia="en-US"/>
        </w:rPr>
        <w:t xml:space="preserve">“). V případě kolize ustanovení Smlouvy a Obchodních podmínek mají ustanovení Smlouvy přednost v souladu s čl. </w:t>
      </w:r>
      <w:r>
        <w:rPr>
          <w:lang w:eastAsia="en-US"/>
        </w:rPr>
        <w:fldChar w:fldCharType="begin"/>
      </w:r>
      <w:r>
        <w:rPr>
          <w:lang w:eastAsia="en-US"/>
        </w:rPr>
        <w:instrText xml:space="preserve"> REF _Ref18917585 \r \h </w:instrText>
      </w:r>
      <w:r>
        <w:rPr>
          <w:lang w:eastAsia="en-US"/>
        </w:rPr>
        <w:fldChar w:fldCharType="separate"/>
      </w:r>
      <w:r>
        <w:rPr>
          <w:lang w:eastAsia="en-US"/>
        </w:rPr>
        <w:t>9.1</w:t>
      </w:r>
      <w:r>
        <w:rPr>
          <w:lang w:eastAsia="en-US"/>
        </w:rPr>
        <w:fldChar w:fldCharType="end"/>
      </w:r>
      <w:r>
        <w:rPr>
          <w:lang w:eastAsia="en-US"/>
        </w:rPr>
        <w:t xml:space="preserve"> Smlouvy.</w:t>
      </w:r>
    </w:p>
    <w:p>
      <w:pPr>
        <w:pStyle w:val="RLTextlnkuslovan"/>
        <w:numPr>
          <w:ilvl w:val="1"/>
          <w:numId w:val="1"/>
        </w:numPr>
        <w:rPr>
          <w:lang w:eastAsia="en-US"/>
        </w:rPr>
      </w:pPr>
      <w:r>
        <w:rPr>
          <w:lang w:eastAsia="en-US"/>
        </w:rPr>
        <w:t>V této Smlouvě použité pojmy a definice označené velkým počátečním písmenem mají příslušný význam uvedený v Obchodních podmínkách, není-li v této Smlouvě uvedeno jinak.</w:t>
      </w:r>
    </w:p>
    <w:p>
      <w:pPr>
        <w:pStyle w:val="RLTextlnkuslovan"/>
        <w:numPr>
          <w:ilvl w:val="1"/>
          <w:numId w:val="1"/>
        </w:numPr>
        <w:rPr/>
      </w:pPr>
      <w:r>
        <w:rPr/>
        <w:t>Nabyvatel s ohledem na ustanovení § 41 zákona č. 128/2000 Sb., o obcích, ve znění pozdějších předpisů, uvádí, že uzavření této Smlouvy za podmínek v ní obsažených bylo schváleno následujícím jednáním:</w:t>
      </w:r>
    </w:p>
    <w:p>
      <w:pPr>
        <w:pStyle w:val="RLTextlnkuslovan"/>
        <w:numPr>
          <w:ilvl w:val="0"/>
          <w:numId w:val="0"/>
        </w:numPr>
        <w:ind w:left="1474" w:hanging="0"/>
        <w:rPr>
          <w:lang w:eastAsia="en-US"/>
        </w:rPr>
      </w:pPr>
      <w:r>
        <w:rPr>
          <w:lang w:eastAsia="en-US"/>
        </w:rPr>
        <w:t xml:space="preserve">Splnění podmínky: schválení </w:t>
      </w:r>
      <w:r>
        <w:rPr>
          <w:highlight w:val="yellow"/>
          <w:lang w:eastAsia="en-US"/>
        </w:rPr>
        <w:t>Radou města Český Krumlov</w:t>
      </w:r>
    </w:p>
    <w:p>
      <w:pPr>
        <w:pStyle w:val="RLTextlnkuslovan"/>
        <w:numPr>
          <w:ilvl w:val="0"/>
          <w:numId w:val="0"/>
        </w:numPr>
        <w:ind w:left="1474" w:hanging="0"/>
        <w:rPr>
          <w:lang w:eastAsia="en-US"/>
        </w:rPr>
      </w:pPr>
      <w:r>
        <w:rPr>
          <w:lang w:eastAsia="en-US"/>
        </w:rPr>
        <w:t xml:space="preserve">Identifikace dokumentu (např. číslo jednací): usnesení č. </w:t>
      </w:r>
      <w:r>
        <w:rPr>
          <w:highlight w:val="yellow"/>
          <w:lang w:eastAsia="en-US"/>
        </w:rPr>
        <w:t>…………………</w:t>
      </w:r>
    </w:p>
    <w:p>
      <w:pPr>
        <w:pStyle w:val="RLTextlnkuslovan"/>
        <w:numPr>
          <w:ilvl w:val="0"/>
          <w:numId w:val="0"/>
        </w:numPr>
        <w:ind w:left="1474" w:hanging="0"/>
        <w:rPr>
          <w:lang w:eastAsia="en-US"/>
        </w:rPr>
      </w:pPr>
      <w:r>
        <w:rPr>
          <w:lang w:eastAsia="en-US"/>
        </w:rPr>
        <w:t xml:space="preserve">Datum: </w:t>
      </w:r>
      <w:r>
        <w:rPr>
          <w:highlight w:val="yellow"/>
          <w:lang w:eastAsia="en-US"/>
        </w:rPr>
        <w:t>……………</w:t>
      </w:r>
    </w:p>
    <w:p>
      <w:pPr>
        <w:pStyle w:val="RLlneksmlouvy"/>
        <w:numPr>
          <w:ilvl w:val="0"/>
          <w:numId w:val="1"/>
        </w:numPr>
        <w:rPr/>
      </w:pPr>
      <w:bookmarkStart w:id="1" w:name="_Ref512000733"/>
      <w:r>
        <w:rPr/>
        <w:t>PŘEDMĚT SMLOUVY</w:t>
      </w:r>
      <w:bookmarkEnd w:id="1"/>
    </w:p>
    <w:p>
      <w:pPr>
        <w:pStyle w:val="RLTextlnkuslovan"/>
        <w:numPr>
          <w:ilvl w:val="1"/>
          <w:numId w:val="1"/>
        </w:numPr>
        <w:rPr>
          <w:lang w:eastAsia="en-US"/>
        </w:rPr>
      </w:pPr>
      <w:r>
        <w:rPr>
          <w:lang w:eastAsia="en-US"/>
        </w:rPr>
        <w:t>Předmětem této Smlouvy je:</w:t>
      </w:r>
    </w:p>
    <w:p>
      <w:pPr>
        <w:pStyle w:val="RLTextlnkuslovan"/>
        <w:numPr>
          <w:ilvl w:val="2"/>
          <w:numId w:val="1"/>
        </w:numPr>
        <w:rPr>
          <w:lang w:eastAsia="en-US"/>
        </w:rPr>
      </w:pPr>
      <w:r>
        <w:rPr>
          <w:lang w:eastAsia="en-US"/>
        </w:rPr>
        <w:t xml:space="preserve">poskytování základní a rozšířené technické podpory </w:t>
      </w:r>
      <w:r>
        <w:rPr/>
        <w:t>software, který byl dodán a implementován na základě smlouvy č. SWR/19/314 ze dne 28.7.2020, a je specifikován v příloze č. 1,</w:t>
      </w:r>
      <w:r>
        <w:rPr>
          <w:lang w:eastAsia="en-US"/>
        </w:rPr>
        <w:t xml:space="preserve"> dle článku 4 Smlouvy (dále jen „</w:t>
      </w:r>
      <w:r>
        <w:rPr>
          <w:b/>
          <w:lang w:eastAsia="en-US"/>
        </w:rPr>
        <w:t>Technická podpora</w:t>
      </w:r>
      <w:r>
        <w:rPr>
          <w:lang w:eastAsia="en-US"/>
        </w:rPr>
        <w:t>“);</w:t>
      </w:r>
    </w:p>
    <w:p>
      <w:pPr>
        <w:pStyle w:val="RLTextlnkuslovan"/>
        <w:numPr>
          <w:ilvl w:val="2"/>
          <w:numId w:val="1"/>
        </w:numPr>
        <w:rPr>
          <w:lang w:eastAsia="en-US"/>
        </w:rPr>
      </w:pPr>
      <w:r>
        <w:rPr>
          <w:lang w:eastAsia="en-US"/>
        </w:rPr>
        <w:t>možnost poskytování doprovodných služeb dle článku 6. Smlouvy.</w:t>
      </w:r>
    </w:p>
    <w:p>
      <w:pPr>
        <w:pStyle w:val="RLTextlnkuslovan"/>
        <w:numPr>
          <w:ilvl w:val="1"/>
          <w:numId w:val="1"/>
        </w:numPr>
        <w:rPr>
          <w:lang w:eastAsia="en-US"/>
        </w:rPr>
      </w:pPr>
      <w:r>
        <w:rPr>
          <w:lang w:eastAsia="en-US"/>
        </w:rPr>
        <w:t>Smluvní strany mohou zhotovit dokument, který upraví předmět Smlouvy. Tento dokument bude nazván detailní realizační projekt a bude mít přednost před Smlouvou (dále jen „</w:t>
      </w:r>
      <w:r>
        <w:rPr>
          <w:b/>
          <w:lang w:eastAsia="en-US"/>
        </w:rPr>
        <w:t>Detailní realizační projekt</w:t>
      </w:r>
      <w:r>
        <w:rPr>
          <w:lang w:eastAsia="en-US"/>
        </w:rPr>
        <w:t>“). V případě, že Detailní realizační projekt rozšíří předmět plnění, stane se účinným až dohodou o ceně plnění, která bude provedena objednávkou nebo dodatkem této Smlouvy.</w:t>
      </w:r>
    </w:p>
    <w:p>
      <w:pPr>
        <w:pStyle w:val="RLlneksmlouvy"/>
        <w:numPr>
          <w:ilvl w:val="0"/>
          <w:numId w:val="1"/>
        </w:numPr>
        <w:rPr/>
      </w:pPr>
      <w:bookmarkStart w:id="2" w:name="_Ref481692755"/>
      <w:bookmarkStart w:id="3" w:name="_Ref482726122"/>
      <w:bookmarkStart w:id="4" w:name="_Ref8979663"/>
      <w:bookmarkEnd w:id="3"/>
      <w:r>
        <w:rPr/>
        <w:t>DATA NABYVATELE A PŘÍSTUP K ROZHRANÍ</w:t>
      </w:r>
      <w:bookmarkEnd w:id="4"/>
    </w:p>
    <w:p>
      <w:pPr>
        <w:pStyle w:val="RLTextlnkuslovan"/>
        <w:numPr>
          <w:ilvl w:val="1"/>
          <w:numId w:val="1"/>
        </w:numPr>
        <w:rPr>
          <w:lang w:eastAsia="en-US"/>
        </w:rPr>
      </w:pPr>
      <w:r>
        <w:rPr>
          <w:lang w:eastAsia="en-US"/>
        </w:rPr>
        <w:t>Veškeré údaje, data, databáze a řešení, která Nabyvatel nahraje nebo vloží do Softwaru, nebo které se z důvodů na straně Nabyvatele ocitnou v programovém rozhraní Softwaru (dále jen „</w:t>
      </w:r>
      <w:r>
        <w:rPr>
          <w:b/>
          <w:lang w:eastAsia="en-US"/>
        </w:rPr>
        <w:t>Data Nabyvatele</w:t>
      </w:r>
      <w:r>
        <w:rPr>
          <w:lang w:eastAsia="en-US"/>
        </w:rPr>
        <w:t>“), zůstávají ve výlučném vlastnictví Nabyvatele, ledaže vlastnické právo k těmto datům náleží třetí osobě. Data Nabyvatele není Poskytovatel oprávněn zadržovat v případě pohledávky Nabyvatele nebo sporu ohledně pohledávky Nabyvatele, § 1395 občanského zákoníku se na Data Nabyvatele neuplatní.</w:t>
      </w:r>
    </w:p>
    <w:p>
      <w:pPr>
        <w:pStyle w:val="RLTextlnkuslovan"/>
        <w:numPr>
          <w:ilvl w:val="1"/>
          <w:numId w:val="1"/>
        </w:numPr>
        <w:rPr>
          <w:lang w:eastAsia="en-US"/>
        </w:rPr>
      </w:pPr>
      <w:bookmarkStart w:id="5" w:name="_Ref522613839"/>
      <w:r>
        <w:rPr>
          <w:lang w:eastAsia="en-US"/>
        </w:rPr>
        <w:t>V případě, že si Nabyvatel zakoupí</w:t>
      </w:r>
      <w:r>
        <w:rPr>
          <w:color w:val="FF0000"/>
          <w:lang w:eastAsia="en-US"/>
        </w:rPr>
        <w:t xml:space="preserve"> </w:t>
      </w:r>
      <w:r>
        <w:rPr>
          <w:lang w:eastAsia="en-US"/>
        </w:rPr>
        <w:t xml:space="preserve">nebo již zakoupil příslušné rozhraní Softwaru API (seznam aktuálních rozhraní je v Příloze 4), umožní Poskytovatel Nabyvateli přístup k Datům Nabyvatele ve strukturované podobě prostřednictvím programového rozhraní Softwaru (API), a to </w:t>
      </w:r>
      <w:r>
        <w:rPr/>
        <w:t>zejména za účelem integrace a zajištění kompatibility Softwaru se softwarem třetích stran. Povinnost zřídit přístup k rozhraní Softwaru (API) ve smyslu tohoto článku</w:t>
      </w:r>
      <w:bookmarkEnd w:id="5"/>
      <w:r>
        <w:rPr/>
        <w:t xml:space="preserve"> </w:t>
      </w:r>
      <w:r>
        <w:rPr/>
        <w:fldChar w:fldCharType="begin"/>
      </w:r>
      <w:r>
        <w:rPr/>
        <w:instrText xml:space="preserve"> REF _Ref522613839 \r \h </w:instrText>
      </w:r>
      <w:r>
        <w:rPr/>
        <w:fldChar w:fldCharType="separate"/>
      </w:r>
      <w:r>
        <w:rPr/>
        <w:t>3.2</w:t>
      </w:r>
      <w:r>
        <w:rPr/>
        <w:fldChar w:fldCharType="end"/>
      </w:r>
      <w:r>
        <w:rPr/>
        <w:t xml:space="preserve"> se uplatní pro ty agendy Software, u kterých si zákazník příslušné rozhraní zakoupil. V souvislosti s tímto článkem 3.2 se Poskytovatel zavazuje poskytnout nezbytnou dokumentaci a zároveň se zavazuje poskytnout spolupráci při integraci Softwaru s dalšími systémy prostřednictvím programového rozhraní Softwaru (API), a to za obchodních podmínek, které si mezi sebou strany předem písemně dohodnou. </w:t>
      </w:r>
    </w:p>
    <w:p>
      <w:pPr>
        <w:pStyle w:val="RLTextlnkuslovan"/>
        <w:numPr>
          <w:ilvl w:val="1"/>
          <w:numId w:val="1"/>
        </w:numPr>
        <w:rPr>
          <w:lang w:eastAsia="en-US"/>
        </w:rPr>
      </w:pPr>
      <w:r>
        <w:rPr/>
        <w:t>Poskytovatel se zavazuje Nabyvateli poskytnout nezbytnou součinnost pro zpřístupnění Dat Nabyvatele třetím osobám v souladu s principy otevřených dat (zejména v souladu s principy programu otevřených dat dle https://opendata.gov.cz) pro zajištění migrace Dat Nabyvatele a/nebo pro další účely, jak mohou být v budoucnu specifikovány Nabyvatelem. Tato součinnost bude poskytnuta vždy až po vzájemné dohodě, za cenu a v termínu dohodnutém mezi Smluvními stranami. Otevřenými daty se pro účely této Smlouvy rozumí informace zveřejňované způsobem umožňujícím dálkový přístup v otevřeném a strojově čitelném formátu, jejichž způsob ani účel následného využití není omezen, jak jsou rovněž vymezeny v § 3 odst. 11 zákona č. 106/1999 Sb., o svobodném přístupu k informacím, ve znění pozdějších předpisů, a/nebo související výkladovou praxí.</w:t>
      </w:r>
    </w:p>
    <w:p>
      <w:pPr>
        <w:pStyle w:val="RLTextlnkuslovan"/>
        <w:numPr>
          <w:ilvl w:val="1"/>
          <w:numId w:val="1"/>
        </w:numPr>
        <w:rPr/>
      </w:pPr>
      <w:bookmarkStart w:id="6" w:name="_Ref12287806"/>
      <w:bookmarkStart w:id="7" w:name="_Ref533672327"/>
      <w:r>
        <w:rPr/>
        <w:t xml:space="preserve">Poskytovatel se zavazuje na žádost Nabyvatele poskytnout Nabyvateli nebo třetí straně, dle volby Nabyvatele, sjednanou součinnost při migraci Dat Nabyvatele do jiného softwaru bez ohledu na to, kdo je dodavatelem takového softwaru, a to dle pravidel stanovených v tomto čl. </w:t>
      </w:r>
      <w:r>
        <w:rPr/>
        <w:fldChar w:fldCharType="begin"/>
      </w:r>
      <w:r>
        <w:rPr/>
        <w:instrText xml:space="preserve"> REF _Ref12287806 \r \h </w:instrText>
      </w:r>
      <w:r>
        <w:rPr/>
        <w:fldChar w:fldCharType="separate"/>
      </w:r>
      <w:r>
        <w:rPr/>
        <w:t>3.4</w:t>
      </w:r>
      <w:r>
        <w:rPr/>
        <w:fldChar w:fldCharType="end"/>
      </w:r>
      <w:r>
        <w:rPr/>
        <w:t>.</w:t>
      </w:r>
      <w:bookmarkEnd w:id="7"/>
      <w:r>
        <w:rPr/>
        <w:t xml:space="preserve"> </w:t>
      </w:r>
      <w:bookmarkEnd w:id="6"/>
      <w:r>
        <w:rPr>
          <w:lang w:eastAsia="en-US"/>
        </w:rPr>
        <w:t xml:space="preserve">Součinnost Poskytovatele poskytovaná dle tohoto čl. </w:t>
      </w:r>
      <w:r>
        <w:rPr>
          <w:lang w:eastAsia="en-US"/>
        </w:rPr>
        <w:fldChar w:fldCharType="begin"/>
      </w:r>
      <w:r>
        <w:rPr>
          <w:lang w:eastAsia="en-US"/>
        </w:rPr>
        <w:instrText xml:space="preserve"> REF _Ref533672327 \r \h </w:instrText>
      </w:r>
      <w:r>
        <w:rPr>
          <w:lang w:eastAsia="en-US"/>
        </w:rPr>
        <w:fldChar w:fldCharType="separate"/>
      </w:r>
      <w:r>
        <w:rPr>
          <w:lang w:eastAsia="en-US"/>
        </w:rPr>
        <w:t>3.4</w:t>
      </w:r>
      <w:r>
        <w:rPr>
          <w:lang w:eastAsia="en-US"/>
        </w:rPr>
        <w:fldChar w:fldCharType="end"/>
      </w:r>
      <w:r>
        <w:rPr>
          <w:lang w:eastAsia="en-US"/>
        </w:rPr>
        <w:t xml:space="preserve"> zahrnuje zejména:</w:t>
      </w:r>
    </w:p>
    <w:p>
      <w:pPr>
        <w:pStyle w:val="RLTextlnkuslovan"/>
        <w:numPr>
          <w:ilvl w:val="2"/>
          <w:numId w:val="1"/>
        </w:numPr>
        <w:rPr>
          <w:lang w:eastAsia="en-US"/>
        </w:rPr>
      </w:pPr>
      <w:r>
        <w:rPr>
          <w:lang w:eastAsia="en-US"/>
        </w:rPr>
        <w:t>Závazek Poskytovatele</w:t>
      </w:r>
      <w:bookmarkStart w:id="8" w:name="_Ref37838090"/>
      <w:r>
        <w:rPr>
          <w:lang w:eastAsia="en-US"/>
        </w:rPr>
        <w:t xml:space="preserve"> </w:t>
      </w:r>
      <w:bookmarkStart w:id="9" w:name="_Ref8990083"/>
      <w:r>
        <w:rPr>
          <w:lang w:eastAsia="en-US"/>
        </w:rPr>
        <w:t>poskytnout Nabyvateli a/nebo na žádost Nabyvatele třetí straně veškerá Data Nabyvatele (zejména, ale nikoliv výlučně, databáze veškerých koncových uživatelů a souvisejících informací) ve standardním, nešifrovaném, nekódovaném, strojově čitelném formátu, jako je např. formát XML. Data Nabyvatele budou poskytnuta takovým způsobem, aby mohla být dále využitelná.</w:t>
      </w:r>
      <w:bookmarkEnd w:id="8"/>
      <w:bookmarkEnd w:id="9"/>
    </w:p>
    <w:p>
      <w:pPr>
        <w:pStyle w:val="RLTextlnkuslovan"/>
        <w:numPr>
          <w:ilvl w:val="2"/>
          <w:numId w:val="1"/>
        </w:numPr>
        <w:rPr>
          <w:lang w:eastAsia="en-US"/>
        </w:rPr>
      </w:pPr>
      <w:r>
        <w:rPr>
          <w:lang w:eastAsia="en-US"/>
        </w:rPr>
        <w:t xml:space="preserve">Pro účely případné migrace na jiný software či jiné programové vybavení odlišné od Softwaru bude Poskytovatel spolupracovat v rámci výběrových řízení s Nabyvatelem a/nebo s třetí stranou – účastníky výběrových řízení a poskytne všem třetím stranám rovné obchodní podmínky spolupráce včetně standardní dokumentace k provozovanému Software. </w:t>
      </w:r>
    </w:p>
    <w:p>
      <w:pPr>
        <w:pStyle w:val="RLTextlnkuslovan"/>
        <w:numPr>
          <w:ilvl w:val="2"/>
          <w:numId w:val="1"/>
        </w:numPr>
        <w:rPr>
          <w:lang w:eastAsia="en-US"/>
        </w:rPr>
      </w:pPr>
      <w:r>
        <w:rPr>
          <w:lang w:eastAsia="en-US"/>
        </w:rPr>
        <w:t>Termín dodání Dat Nabyvatele (Poskytovatelem Nabyvateli) bude předem oboustranně sjednán a odsouhlasen.</w:t>
      </w:r>
    </w:p>
    <w:p>
      <w:pPr>
        <w:pStyle w:val="RLTextlnkuslovan"/>
        <w:numPr>
          <w:ilvl w:val="2"/>
          <w:numId w:val="1"/>
        </w:numPr>
        <w:rPr>
          <w:lang w:eastAsia="en-US"/>
        </w:rPr>
      </w:pPr>
      <w:bookmarkStart w:id="10" w:name="_Ref8989868"/>
      <w:r>
        <w:rPr>
          <w:lang w:eastAsia="en-US"/>
        </w:rPr>
        <w:t xml:space="preserve">Součinnost Poskytovatele při migraci Dat Nabyvatele bude poskytována jako součást rozšířené Technické podpory dle Přílohy č. 2B Smlouvy; v rozsahu přesahujícím sjednaný rozsah rozšířené Technické podpory se Nabyvatel zavazuje Poskytovateli uhradit cenu dle aktuálního ceníku Poskytovatele. </w:t>
      </w:r>
      <w:bookmarkEnd w:id="10"/>
    </w:p>
    <w:p>
      <w:pPr>
        <w:pStyle w:val="RLTextlnkuslovan"/>
        <w:numPr>
          <w:ilvl w:val="1"/>
          <w:numId w:val="1"/>
        </w:numPr>
        <w:rPr/>
      </w:pPr>
      <w:r>
        <w:rPr>
          <w:lang w:eastAsia="en-US"/>
        </w:rPr>
        <w:t xml:space="preserve">V případě, že Poskytovatel nedodá Data Nabyvatele do termínu určeného Nabyvatelem v souladu s čl. </w:t>
      </w:r>
      <w:r>
        <w:rPr>
          <w:lang w:eastAsia="en-US"/>
        </w:rPr>
        <w:fldChar w:fldCharType="begin"/>
      </w:r>
      <w:r>
        <w:rPr>
          <w:lang w:eastAsia="en-US"/>
        </w:rPr>
        <w:instrText xml:space="preserve"> REF _Ref37838090 \r \h </w:instrText>
      </w:r>
      <w:r>
        <w:rPr>
          <w:lang w:eastAsia="en-US"/>
        </w:rPr>
        <w:fldChar w:fldCharType="separate"/>
      </w:r>
      <w:r>
        <w:rPr>
          <w:lang w:eastAsia="en-US"/>
        </w:rPr>
        <w:t>3.4.1</w:t>
      </w:r>
      <w:r>
        <w:rPr>
          <w:lang w:eastAsia="en-US"/>
        </w:rPr>
        <w:fldChar w:fldCharType="end"/>
      </w:r>
      <w:r>
        <w:rPr>
          <w:lang w:eastAsia="en-US"/>
        </w:rPr>
        <w:t xml:space="preserve">, Poskytovatel uhradí za každý započatý měsíc smluvní pokutu </w:t>
      </w:r>
      <w:r>
        <w:rPr>
          <w:rStyle w:val="Annotationreference"/>
          <w:sz w:val="22"/>
        </w:rPr>
        <w:t xml:space="preserve">odpovídající výši ceny za poskytování základní Technické podpory za </w:t>
      </w:r>
      <w:r>
        <w:rPr>
          <w:rStyle w:val="Annotationreference"/>
          <w:sz w:val="22"/>
          <w:szCs w:val="24"/>
          <w:lang w:eastAsia="en-US"/>
        </w:rPr>
        <w:t>jeden</w:t>
      </w:r>
      <w:r>
        <w:rPr>
          <w:rStyle w:val="Annotationreference"/>
          <w:sz w:val="22"/>
        </w:rPr>
        <w:t xml:space="preserve"> kalendářní </w:t>
      </w:r>
      <w:r>
        <w:rPr>
          <w:rStyle w:val="Annotationreference"/>
          <w:sz w:val="22"/>
          <w:szCs w:val="24"/>
          <w:lang w:eastAsia="en-US"/>
        </w:rPr>
        <w:t>měsíc</w:t>
      </w:r>
      <w:r>
        <w:rPr>
          <w:lang w:eastAsia="en-US"/>
        </w:rPr>
        <w:t xml:space="preserve">. </w:t>
      </w:r>
      <w:r>
        <w:rPr>
          <w:rStyle w:val="Annotationreference"/>
          <w:sz w:val="22"/>
        </w:rPr>
        <w:t xml:space="preserve">V případě, že Poskytovatel poruší své závazky vyplývající z čl. </w:t>
      </w:r>
      <w:r>
        <w:rPr>
          <w:rStyle w:val="Annotationreference"/>
          <w:sz w:val="22"/>
          <w:szCs w:val="24"/>
          <w:lang w:eastAsia="en-US"/>
        </w:rPr>
        <w:t xml:space="preserve">3.4 (s výjimkou </w:t>
      </w:r>
      <w:r>
        <w:rPr>
          <w:lang w:eastAsia="en-US"/>
        </w:rPr>
        <w:t xml:space="preserve">čl. </w:t>
      </w:r>
      <w:r>
        <w:rPr>
          <w:lang w:eastAsia="en-US"/>
        </w:rPr>
        <w:fldChar w:fldCharType="begin"/>
      </w:r>
      <w:r>
        <w:rPr>
          <w:lang w:eastAsia="en-US"/>
        </w:rPr>
        <w:instrText xml:space="preserve"> REF _Ref37838090 \r \h </w:instrText>
      </w:r>
      <w:r>
        <w:rPr>
          <w:lang w:eastAsia="en-US"/>
        </w:rPr>
        <w:fldChar w:fldCharType="separate"/>
      </w:r>
      <w:r>
        <w:rPr>
          <w:lang w:eastAsia="en-US"/>
        </w:rPr>
        <w:t>3.4.1</w:t>
      </w:r>
      <w:r>
        <w:rPr>
          <w:lang w:eastAsia="en-US"/>
        </w:rPr>
        <w:fldChar w:fldCharType="end"/>
      </w:r>
      <w:r>
        <w:rPr>
          <w:rStyle w:val="Annotationreference"/>
          <w:sz w:val="22"/>
          <w:szCs w:val="24"/>
          <w:lang w:eastAsia="en-US"/>
        </w:rPr>
        <w:t>),</w:t>
      </w:r>
      <w:r>
        <w:rPr>
          <w:rStyle w:val="Annotationreference"/>
          <w:sz w:val="22"/>
        </w:rPr>
        <w:t xml:space="preserve"> zavazuje se zaplatit Nabyvateli smluvní pokutu odpovídající výši ceny za poskytování základní Technické podpory za </w:t>
      </w:r>
      <w:r>
        <w:rPr>
          <w:rStyle w:val="Annotationreference"/>
          <w:sz w:val="22"/>
          <w:szCs w:val="24"/>
          <w:lang w:eastAsia="en-US"/>
        </w:rPr>
        <w:t>jeden</w:t>
      </w:r>
      <w:r>
        <w:rPr>
          <w:rStyle w:val="Annotationreference"/>
          <w:sz w:val="22"/>
        </w:rPr>
        <w:t xml:space="preserve"> kalendářní </w:t>
      </w:r>
      <w:r>
        <w:rPr>
          <w:rStyle w:val="Annotationreference"/>
          <w:sz w:val="22"/>
          <w:szCs w:val="24"/>
          <w:lang w:eastAsia="en-US"/>
        </w:rPr>
        <w:t>měsíc</w:t>
      </w:r>
      <w:r>
        <w:rPr>
          <w:rStyle w:val="Annotationreference"/>
          <w:sz w:val="22"/>
        </w:rPr>
        <w:t xml:space="preserve">. Zaplacením jakékoliv smluvní pokuty dle tohoto čl. </w:t>
      </w:r>
      <w:r>
        <w:rPr>
          <w:rStyle w:val="Annotationreference"/>
          <w:sz w:val="22"/>
          <w:szCs w:val="24"/>
          <w:lang w:eastAsia="en-US"/>
        </w:rPr>
        <w:t>3</w:t>
      </w:r>
      <w:r>
        <w:rPr>
          <w:rStyle w:val="Annotationreference"/>
          <w:sz w:val="22"/>
        </w:rPr>
        <w:t xml:space="preserve"> není dotčeno právo Nabyvatele na náhradu vzniklé škody v souvislosti s porušením Smlouvy, a to za podmínek stanovených čl. 9.2 Obchodních Podmínek.</w:t>
      </w:r>
    </w:p>
    <w:p>
      <w:pPr>
        <w:pStyle w:val="RLTextlnkuslovan"/>
        <w:numPr>
          <w:ilvl w:val="1"/>
          <w:numId w:val="1"/>
        </w:numPr>
        <w:rPr>
          <w:lang w:eastAsia="en-US"/>
        </w:rPr>
      </w:pPr>
      <w:r>
        <w:rPr>
          <w:lang w:eastAsia="en-US"/>
        </w:rPr>
        <w:t xml:space="preserve">Poskytovatel prohlašuje, že Software neobsahuje žádné prvky, které by znemožňovaly přechod k jinému softwaru, zejména, ale nikoliv výlučně, že </w:t>
      </w:r>
      <w:r>
        <w:rPr/>
        <w:t>Data Nabyvatele nebudou při využívání Softwaru upravena tak, že by byl znemožněn nebo nadměrně znesnadněn jejich export.</w:t>
      </w:r>
    </w:p>
    <w:p>
      <w:pPr>
        <w:pStyle w:val="RLTextlnkuslovan"/>
        <w:numPr>
          <w:ilvl w:val="1"/>
          <w:numId w:val="1"/>
        </w:numPr>
        <w:rPr>
          <w:lang w:eastAsia="en-US"/>
        </w:rPr>
      </w:pPr>
      <w:r>
        <w:rPr/>
        <w:t xml:space="preserve">Poskytovatel se zavazuje spolupracovat s Nabyvatelem a/nebo s třetí stranou – účastníky výběrových řízení – pro účely zadávacího řízení na software či jiné programové vybavení, ve kterém mají být užívána Data Nabyvatele a zajistit všem třetím stranám rovné obchodní podmínky spolupráce včetně dokumentace k provozovanému Software. </w:t>
      </w:r>
    </w:p>
    <w:p>
      <w:pPr>
        <w:pStyle w:val="RLTextlnkuslovan"/>
        <w:numPr>
          <w:ilvl w:val="1"/>
          <w:numId w:val="1"/>
        </w:numPr>
        <w:rPr>
          <w:lang w:eastAsia="en-US"/>
        </w:rPr>
      </w:pPr>
      <w:r>
        <w:rPr>
          <w:lang w:eastAsia="en-US"/>
        </w:rPr>
        <w:t>Pokud jsou součástí Dat Nabyvatele osobní údaje ve smyslu čl. 4 odst. 1 obecného nařízení Evropského parlamentu a Rady (EU) 2016/679 o ochraně osobních údajů („</w:t>
      </w:r>
      <w:r>
        <w:rPr>
          <w:b/>
          <w:lang w:eastAsia="en-US"/>
        </w:rPr>
        <w:t>GDPR</w:t>
      </w:r>
      <w:r>
        <w:rPr>
          <w:lang w:eastAsia="en-US"/>
        </w:rPr>
        <w:t>“), je Poskytovatel v pozici zpracovatele těchto osobních údajů ve smyslu čl. 4 odst. 8 GDPR a podmínky zpracování osobních údajů se řídí samostatnou smlouvou o zpracování osobních údajů, kterou mezi sebou smluvní strany uzavřely.</w:t>
      </w:r>
      <w:r>
        <w:rPr>
          <w:rFonts w:cs="Calibri"/>
          <w:lang w:eastAsia="en-US"/>
        </w:rPr>
        <w:t xml:space="preserve"> (dále jen „</w:t>
      </w:r>
      <w:r>
        <w:rPr>
          <w:rFonts w:cs="Calibri"/>
          <w:b/>
          <w:lang w:eastAsia="en-US"/>
        </w:rPr>
        <w:t>Smlouva o zpracování osobních údajů</w:t>
      </w:r>
      <w:r>
        <w:rPr>
          <w:rFonts w:cs="Calibri"/>
          <w:lang w:eastAsia="en-US"/>
        </w:rPr>
        <w:t>“)</w:t>
      </w:r>
      <w:r>
        <w:rPr>
          <w:lang w:eastAsia="en-US"/>
        </w:rPr>
        <w:t xml:space="preserve">. </w:t>
      </w:r>
    </w:p>
    <w:p>
      <w:pPr>
        <w:pStyle w:val="RLlneksmlouvy"/>
        <w:numPr>
          <w:ilvl w:val="0"/>
          <w:numId w:val="1"/>
        </w:numPr>
        <w:rPr/>
      </w:pPr>
      <w:bookmarkStart w:id="11" w:name="_Ref482726122"/>
      <w:bookmarkStart w:id="12" w:name="_Ref482726135"/>
      <w:bookmarkEnd w:id="11"/>
      <w:r>
        <w:rPr/>
        <w:t>TECHNICKÁ PODPORA</w:t>
      </w:r>
      <w:bookmarkEnd w:id="12"/>
    </w:p>
    <w:p>
      <w:pPr>
        <w:pStyle w:val="RLTextlnkuslovan"/>
        <w:numPr>
          <w:ilvl w:val="1"/>
          <w:numId w:val="1"/>
        </w:numPr>
        <w:rPr>
          <w:lang w:eastAsia="en-US"/>
        </w:rPr>
      </w:pPr>
      <w:bookmarkStart w:id="13" w:name="_Ref481692755"/>
      <w:r>
        <w:rPr>
          <w:lang w:eastAsia="en-US"/>
        </w:rPr>
        <w:t>Technická podpora bude poskytována v souladu s Obchodními podmínkami, které jsou uvedeny v příloze č. 5 smlouvy</w:t>
      </w:r>
      <w:bookmarkEnd w:id="13"/>
    </w:p>
    <w:p>
      <w:pPr>
        <w:pStyle w:val="RLTextlnkuslovan"/>
        <w:numPr>
          <w:ilvl w:val="1"/>
          <w:numId w:val="1"/>
        </w:numPr>
        <w:rPr>
          <w:lang w:eastAsia="en-US"/>
        </w:rPr>
      </w:pPr>
      <w:r>
        <w:rPr>
          <w:lang w:eastAsia="en-US"/>
        </w:rPr>
        <w:t>Rozsah rozšířené Technické podpory je stanoven v Příloze č. 2B Smlouvy.</w:t>
      </w:r>
    </w:p>
    <w:p>
      <w:pPr>
        <w:pStyle w:val="RLlneksmlouvy"/>
        <w:numPr>
          <w:ilvl w:val="0"/>
          <w:numId w:val="1"/>
        </w:numPr>
        <w:rPr/>
      </w:pPr>
      <w:r>
        <w:rPr/>
        <w:t>CENA</w:t>
      </w:r>
    </w:p>
    <w:p>
      <w:pPr>
        <w:pStyle w:val="RLTextlnkuslovan"/>
        <w:numPr>
          <w:ilvl w:val="1"/>
          <w:numId w:val="1"/>
        </w:numPr>
        <w:rPr>
          <w:lang w:eastAsia="en-US"/>
        </w:rPr>
      </w:pPr>
      <w:r>
        <w:rPr>
          <w:lang w:eastAsia="en-US"/>
        </w:rPr>
        <w:t>Ceny jsou uvedeny v </w:t>
      </w:r>
      <w:r>
        <w:rPr/>
        <w:t>příloze</w:t>
      </w:r>
      <w:r>
        <w:rPr>
          <w:lang w:eastAsia="en-US"/>
        </w:rPr>
        <w:t xml:space="preserve"> č. 3 Smlouvy. </w:t>
      </w:r>
    </w:p>
    <w:p>
      <w:pPr>
        <w:pStyle w:val="RLTextlnkuslovan"/>
        <w:numPr>
          <w:ilvl w:val="1"/>
          <w:numId w:val="1"/>
        </w:numPr>
        <w:rPr/>
      </w:pPr>
      <w:r>
        <w:rPr>
          <w:lang w:eastAsia="en-US"/>
        </w:rPr>
        <w:t>Platební podmínky se řídí Obchodními podmínkami.</w:t>
      </w:r>
    </w:p>
    <w:p>
      <w:pPr>
        <w:pStyle w:val="RLlneksmlouvy"/>
        <w:numPr>
          <w:ilvl w:val="0"/>
          <w:numId w:val="1"/>
        </w:numPr>
        <w:rPr/>
      </w:pPr>
      <w:bookmarkStart w:id="14" w:name="_Ref522280551"/>
      <w:r>
        <w:rPr/>
        <w:t>POSKYTOVÁNÍ DOPROVODNÝCH SLUŽEB</w:t>
      </w:r>
      <w:bookmarkEnd w:id="14"/>
    </w:p>
    <w:p>
      <w:pPr>
        <w:pStyle w:val="RLTextlnkuslovan"/>
        <w:numPr>
          <w:ilvl w:val="1"/>
          <w:numId w:val="1"/>
        </w:numPr>
        <w:rPr>
          <w:lang w:eastAsia="en-US"/>
        </w:rPr>
      </w:pPr>
      <w:r>
        <w:rPr>
          <w:lang w:eastAsia="en-US"/>
        </w:rPr>
        <w:t>Nabyvatel je oprávněn objednat u Poskytovatele další doprovodné služby z nabídky uvedené na webu Poskytovatele za ceníkové ceny Poskytovatele platné v době provedení služby a uvedené rovněž na webu Poskytovatele.</w:t>
      </w:r>
    </w:p>
    <w:p>
      <w:pPr>
        <w:pStyle w:val="RLTextlnkuslovan"/>
        <w:numPr>
          <w:ilvl w:val="1"/>
          <w:numId w:val="1"/>
        </w:numPr>
        <w:rPr>
          <w:lang w:eastAsia="en-US"/>
        </w:rPr>
      </w:pPr>
      <w:r>
        <w:rPr>
          <w:lang w:eastAsia="en-US"/>
        </w:rPr>
        <w:t xml:space="preserve">Poskytování doprovodných služeb bude realizováno na základě akceptovaných objednávek Nabyvatele. </w:t>
      </w:r>
    </w:p>
    <w:p>
      <w:pPr>
        <w:pStyle w:val="RLTextlnkuslovan"/>
        <w:numPr>
          <w:ilvl w:val="1"/>
          <w:numId w:val="1"/>
        </w:numPr>
        <w:rPr>
          <w:lang w:eastAsia="en-US"/>
        </w:rPr>
      </w:pPr>
      <w:bookmarkStart w:id="15" w:name="_Ref522280386"/>
      <w:r>
        <w:rPr>
          <w:lang w:eastAsia="en-US"/>
        </w:rPr>
        <w:t>Objednávkou se rozumí i požadavek Nabyvatele přijatý formou Hot Line, Help Desk či jinou formou, který není opravou vady Softwaru a který není součástí Technické podpory.</w:t>
      </w:r>
      <w:bookmarkEnd w:id="15"/>
      <w:r>
        <w:rPr>
          <w:lang w:eastAsia="en-US"/>
        </w:rPr>
        <w:t xml:space="preserve"> </w:t>
      </w:r>
      <w:bookmarkStart w:id="16" w:name="_Ref481686838"/>
      <w:bookmarkEnd w:id="16"/>
    </w:p>
    <w:p>
      <w:pPr>
        <w:pStyle w:val="RLlneksmlouvy"/>
        <w:numPr>
          <w:ilvl w:val="0"/>
          <w:numId w:val="1"/>
        </w:numPr>
        <w:rPr/>
      </w:pPr>
      <w:r>
        <w:rPr/>
        <w:t>ODSTRANĚNÍ VAD A DOSTUPNOST SOFTWARE</w:t>
      </w:r>
    </w:p>
    <w:p>
      <w:pPr>
        <w:pStyle w:val="RLTextlnkuslovan"/>
        <w:numPr>
          <w:ilvl w:val="1"/>
          <w:numId w:val="1"/>
        </w:numPr>
        <w:rPr>
          <w:lang w:eastAsia="en-US"/>
        </w:rPr>
      </w:pPr>
      <w:r>
        <w:rPr>
          <w:lang w:eastAsia="en-US"/>
        </w:rPr>
        <w:t>Poskytovatel odpovídá za vady Software a služeb po dobu poskytování Technické podpory. Reklamační řízení se řídí ustanoveními Obchodních podmínek. Smluvní strany dále sjednávají, že Poskytovatel zahájí odstranění vady ve lhůtách podle níže uvedené tabulky.</w:t>
      </w:r>
    </w:p>
    <w:p>
      <w:pPr>
        <w:pStyle w:val="RLTextlnkuslovan"/>
        <w:numPr>
          <w:ilvl w:val="1"/>
          <w:numId w:val="1"/>
        </w:numPr>
        <w:rPr>
          <w:lang w:eastAsia="en-US"/>
        </w:rPr>
      </w:pPr>
      <w:r>
        <w:rPr>
          <w:lang w:eastAsia="en-US"/>
        </w:rPr>
        <w:t>Poskytovatel zajistí dostupnost Software podle zde uvedené tabulky. Míra dostupnosti znamená podíl času, kdy byl Software bez kritických vad a celkového času uplynulého za posuzované období.</w:t>
      </w:r>
    </w:p>
    <w:p>
      <w:pPr>
        <w:pStyle w:val="RLTextlnkuslovan"/>
        <w:numPr>
          <w:ilvl w:val="1"/>
          <w:numId w:val="1"/>
        </w:numPr>
        <w:rPr>
          <w:lang w:eastAsia="en-US"/>
        </w:rPr>
      </w:pPr>
      <w:r>
        <w:rPr>
          <w:lang w:eastAsia="en-US"/>
        </w:rPr>
        <w:t xml:space="preserve">Poskytovatel vede záznamy o známé nedostupnosti Software. Výsledná úroveň dostupnosti se vypočítává v půlročních intervalech. Jako výsledná úroveň dostupnosti se použije úroveň v procentech vypočtená podle vzorce: </w:t>
      </w:r>
    </w:p>
    <w:p>
      <w:pPr>
        <w:pStyle w:val="RLTextlnkuslovan"/>
        <w:numPr>
          <w:ilvl w:val="0"/>
          <w:numId w:val="0"/>
        </w:numPr>
        <w:spacing w:lineRule="auto" w:line="240"/>
        <w:ind w:left="0" w:hanging="0"/>
        <w:jc w:val="right"/>
        <w:rPr>
          <w:lang w:eastAsia="en-US"/>
        </w:rPr>
      </w:pPr>
      <w:r>
        <w:rPr/>
      </w:r>
      <m:oMathPara xmlns:m="http://schemas.openxmlformats.org/officeDocument/2006/math">
        <m:oMathParaPr>
          <m:jc m:val="right"/>
        </m:oMathParaPr>
        <m:oMath>
          <m:f>
            <m:num>
              <m:d>
                <m:dPr>
                  <m:begChr m:val="["/>
                  <m:endChr m:val="]"/>
                </m:dPr>
                <m:e>
                  <m:d>
                    <m:dPr>
                      <m:begChr m:val="("/>
                      <m:endChr m:val=")"/>
                    </m:dPr>
                    <m:e>
                      <m:nary>
                        <m:naryPr>
                          <m:chr m:val="∑"/>
                          <m:subHide m:val="1"/>
                          <m:supHide m:val="1"/>
                        </m:naryPr>
                        <m:sub/>
                        <m:sup/>
                        <m:e>
                          <m:d>
                            <m:dPr>
                              <m:begChr m:val="["/>
                              <m:endChr m:val="]"/>
                            </m:dPr>
                            <m:e>
                              <m:r>
                                <w:rPr>
                                  <w:rFonts w:ascii="Cambria Math" w:hAnsi="Cambria Math"/>
                                </w:rPr>
                                <m:t xml:space="preserve">h</m:t>
                              </m:r>
                            </m:e>
                          </m:d>
                          <m:r>
                            <w:rPr>
                              <w:rFonts w:ascii="Cambria Math" w:hAnsi="Cambria Math"/>
                            </w:rPr>
                            <m:t xml:space="preserve">za</m:t>
                          </m:r>
                          <m:r>
                            <w:rPr>
                              <w:rFonts w:ascii="Cambria Math" w:hAnsi="Cambria Math"/>
                            </w:rPr>
                            <m:t xml:space="preserve">definovan</m:t>
                          </m:r>
                          <m:r>
                            <w:rPr>
                              <w:rFonts w:ascii="Cambria Math" w:hAnsi="Cambria Math"/>
                            </w:rPr>
                            <m:t xml:space="preserve">é</m:t>
                          </m:r>
                          <m:r>
                            <w:rPr>
                              <w:rFonts w:ascii="Cambria Math" w:hAnsi="Cambria Math"/>
                            </w:rPr>
                            <m:t xml:space="preserve">obdob</m:t>
                          </m:r>
                          <m:r>
                            <w:rPr>
                              <w:rFonts w:ascii="Cambria Math" w:hAnsi="Cambria Math"/>
                            </w:rPr>
                            <m:t xml:space="preserve">í</m:t>
                          </m:r>
                        </m:e>
                      </m:nary>
                    </m:e>
                  </m:d>
                  <m:r>
                    <w:rPr>
                      <w:rFonts w:ascii="Cambria Math" w:hAnsi="Cambria Math"/>
                    </w:rPr>
                    <m:t xml:space="preserve">−</m:t>
                  </m:r>
                  <m:d>
                    <m:dPr>
                      <m:begChr m:val="("/>
                      <m:endChr m:val=")"/>
                    </m:dPr>
                    <m:e>
                      <m:nary>
                        <m:naryPr>
                          <m:chr m:val="∑"/>
                          <m:subHide m:val="1"/>
                          <m:supHide m:val="1"/>
                        </m:naryPr>
                        <m:sub/>
                        <m:sup/>
                        <m:e>
                          <m:r>
                            <w:rPr>
                              <w:rFonts w:ascii="Cambria Math" w:hAnsi="Cambria Math"/>
                            </w:rPr>
                            <m:t xml:space="preserve">nedostupnosti</m:t>
                          </m:r>
                          <m:r>
                            <w:rPr>
                              <w:rFonts w:ascii="Cambria Math" w:hAnsi="Cambria Math"/>
                            </w:rPr>
                            <m:t xml:space="preserve">syst</m:t>
                          </m:r>
                          <m:r>
                            <w:rPr>
                              <w:rFonts w:ascii="Cambria Math" w:hAnsi="Cambria Math"/>
                            </w:rPr>
                            <m:t xml:space="preserve">é</m:t>
                          </m:r>
                          <m:r>
                            <w:rPr>
                              <w:rFonts w:ascii="Cambria Math" w:hAnsi="Cambria Math"/>
                            </w:rPr>
                            <m:t xml:space="preserve">mu</m:t>
                          </m:r>
                        </m:e>
                      </m:nary>
                      <m:d>
                        <m:dPr>
                          <m:begChr m:val="["/>
                          <m:endChr m:val="]"/>
                        </m:dPr>
                        <m:e>
                          <m:r>
                            <w:rPr>
                              <w:rFonts w:ascii="Cambria Math" w:hAnsi="Cambria Math"/>
                            </w:rPr>
                            <m:t xml:space="preserve">h</m:t>
                          </m:r>
                        </m:e>
                      </m:d>
                    </m:e>
                  </m:d>
                </m:e>
              </m:d>
            </m:num>
            <m:den>
              <m:d>
                <m:dPr>
                  <m:begChr m:val="("/>
                  <m:endChr m:val=")"/>
                </m:dPr>
                <m:e>
                  <m:nary>
                    <m:naryPr>
                      <m:chr m:val="∑"/>
                      <m:subHide m:val="1"/>
                      <m:supHide m:val="1"/>
                    </m:naryPr>
                    <m:sub/>
                    <m:sup/>
                    <m:e>
                      <m:d>
                        <m:dPr>
                          <m:begChr m:val="["/>
                          <m:endChr m:val="]"/>
                        </m:dPr>
                        <m:e>
                          <m:r>
                            <w:rPr>
                              <w:rFonts w:ascii="Cambria Math" w:hAnsi="Cambria Math"/>
                            </w:rPr>
                            <m:t xml:space="preserve">h</m:t>
                          </m:r>
                        </m:e>
                      </m:d>
                      <m:r>
                        <w:rPr>
                          <w:rFonts w:ascii="Cambria Math" w:hAnsi="Cambria Math"/>
                        </w:rPr>
                        <m:t xml:space="preserve">za</m:t>
                      </m:r>
                      <m:r>
                        <w:rPr>
                          <w:rFonts w:ascii="Cambria Math" w:hAnsi="Cambria Math"/>
                        </w:rPr>
                        <m:t xml:space="preserve">definovan</m:t>
                      </m:r>
                      <m:r>
                        <w:rPr>
                          <w:rFonts w:ascii="Cambria Math" w:hAnsi="Cambria Math"/>
                        </w:rPr>
                        <m:t xml:space="preserve">é</m:t>
                      </m:r>
                      <m:r>
                        <w:rPr>
                          <w:rFonts w:ascii="Cambria Math" w:hAnsi="Cambria Math"/>
                        </w:rPr>
                        <m:t xml:space="preserve">obdob</m:t>
                      </m:r>
                      <m:r>
                        <w:rPr>
                          <w:rFonts w:ascii="Cambria Math" w:hAnsi="Cambria Math"/>
                        </w:rPr>
                        <m:t xml:space="preserve">í</m:t>
                      </m:r>
                    </m:e>
                  </m:nary>
                </m:e>
              </m:d>
            </m:den>
          </m:f>
          <m:r>
            <w:rPr>
              <w:rFonts w:ascii="Cambria Math" w:hAnsi="Cambria Math"/>
            </w:rPr>
            <m:t xml:space="preserve">∗</m:t>
          </m:r>
          <m:r>
            <w:rPr>
              <w:rFonts w:ascii="Cambria Math" w:hAnsi="Cambria Math"/>
            </w:rPr>
            <m:t xml:space="preserve">100</m:t>
          </m:r>
        </m:oMath>
      </m:oMathPara>
    </w:p>
    <w:p>
      <w:pPr>
        <w:pStyle w:val="RLTextlnkuslovan"/>
        <w:numPr>
          <w:ilvl w:val="1"/>
          <w:numId w:val="1"/>
        </w:numPr>
        <w:rPr>
          <w:lang w:eastAsia="en-US"/>
        </w:rPr>
      </w:pPr>
      <w:r>
        <w:rPr>
          <w:lang w:eastAsia="en-US"/>
        </w:rPr>
        <w:t>Pro účely řešení vady nebo návrhu Nabyvatele na zlepšení Softwaru je Poskytovatel oprávněn omezit dostupnost Software. Do nedostupnosti při vyhodnocování celkové dostupnosti se započítává pouze nedostupnost způsobená odstraňováním vady, za kterou odpovídá Poskytovatel nebo nedostupnost způsobená zlepšováním Softwaru bez návrhu Nabyvatele. Do nedostupnosti se nezapočítává doba, po kterou nebyla poskytnuta součinnost Nabyvatele.</w:t>
      </w:r>
    </w:p>
    <w:p>
      <w:pPr>
        <w:pStyle w:val="RLTextlnkuslovan"/>
        <w:numPr>
          <w:ilvl w:val="1"/>
          <w:numId w:val="1"/>
        </w:numPr>
        <w:rPr>
          <w:lang w:eastAsia="en-US"/>
        </w:rPr>
      </w:pPr>
      <w:r>
        <w:rPr>
          <w:lang w:eastAsia="en-US"/>
        </w:rPr>
        <w:t xml:space="preserve">Nad rámec vad je Nabyvatel oprávněn prostřednictvím Hot Line nebo Help Desku nahlašovat Poskytovateli též své návrhy na zlepšení Software. Poskytovatel má výhradní právo stanovit, zda mají být náměty na rozvoj Software zahrnuty do nových verzí Software. Návrhy na zlepšení Softwaru nebudou považovány za objednávky nebo požadavky dle odst. </w:t>
      </w:r>
      <w:r>
        <w:rPr>
          <w:lang w:eastAsia="en-US"/>
        </w:rPr>
        <w:fldChar w:fldCharType="begin"/>
      </w:r>
      <w:r>
        <w:rPr>
          <w:lang w:eastAsia="en-US"/>
        </w:rPr>
        <w:instrText xml:space="preserve"> REF _Ref522280386 \r \h </w:instrText>
      </w:r>
      <w:r>
        <w:rPr>
          <w:lang w:eastAsia="en-US"/>
        </w:rPr>
        <w:fldChar w:fldCharType="separate"/>
      </w:r>
      <w:r>
        <w:rPr>
          <w:lang w:eastAsia="en-US"/>
        </w:rPr>
        <w:t>6.3</w:t>
      </w:r>
      <w:r>
        <w:rPr>
          <w:lang w:eastAsia="en-US"/>
        </w:rPr>
        <w:fldChar w:fldCharType="end"/>
      </w:r>
      <w:r>
        <w:rPr>
          <w:lang w:eastAsia="en-US"/>
        </w:rPr>
        <w:t xml:space="preserve"> Smlouvy. </w:t>
      </w:r>
    </w:p>
    <w:p>
      <w:pPr>
        <w:pStyle w:val="RLTextlnkuslovan"/>
        <w:numPr>
          <w:ilvl w:val="1"/>
          <w:numId w:val="1"/>
        </w:numPr>
        <w:rPr>
          <w:lang w:eastAsia="en-US"/>
        </w:rPr>
      </w:pPr>
      <w:r>
        <w:rPr>
          <w:lang w:eastAsia="en-US"/>
        </w:rPr>
        <w:t xml:space="preserve"> </w:t>
      </w:r>
      <w:r>
        <w:rPr>
          <w:lang w:eastAsia="en-US"/>
        </w:rPr>
        <w:t>Výklad časových okamžiků je následující:</w:t>
      </w:r>
    </w:p>
    <w:p>
      <w:pPr>
        <w:pStyle w:val="RLTextlnkuslovan"/>
        <w:numPr>
          <w:ilvl w:val="2"/>
          <w:numId w:val="1"/>
        </w:numPr>
        <w:rPr>
          <w:lang w:eastAsia="en-US"/>
        </w:rPr>
      </w:pPr>
      <w:r>
        <w:rPr>
          <w:lang w:eastAsia="en-US"/>
        </w:rPr>
        <w:t xml:space="preserve">Doba potvrzení přijetí požadavku znamená časový úsek v hodinách v rámci Pracovní doby od nahlášení vady přes aplikaci Help Desk do okamžiku, ve kterém Poskytovatel vyrozuměl Nabyvatele o tom, že byl úspěšně doručen a /nebo zaevidován požadavek. </w:t>
      </w:r>
    </w:p>
    <w:p>
      <w:pPr>
        <w:pStyle w:val="RLTextlnkuslovan"/>
        <w:numPr>
          <w:ilvl w:val="2"/>
          <w:numId w:val="1"/>
        </w:numPr>
        <w:rPr>
          <w:lang w:eastAsia="en-US"/>
        </w:rPr>
      </w:pPr>
      <w:r>
        <w:rPr>
          <w:lang w:eastAsia="en-US"/>
        </w:rPr>
        <w:t xml:space="preserve">Doba zahájení řešení znamená časový úsek v hodinách v rámci Pracovní doby od nahlášení vady přes aplikaci Help Desk do okamžiku, ve kterém Poskytovatel zahájil činnosti směřující k nalezení a poskytnutí řešení vady Nabyvateli. </w:t>
      </w:r>
    </w:p>
    <w:p>
      <w:pPr>
        <w:pStyle w:val="RLTextlnkuslovan"/>
        <w:numPr>
          <w:ilvl w:val="2"/>
          <w:numId w:val="1"/>
        </w:numPr>
        <w:rPr>
          <w:lang w:eastAsia="en-US"/>
        </w:rPr>
      </w:pPr>
      <w:r>
        <w:rPr>
          <w:lang w:eastAsia="en-US"/>
        </w:rPr>
        <w:t xml:space="preserve">Doba vyřešení znamená časový úsek v hodinách v rámci Pracovní doby od nahlášení vady přes aplikaci Help Desk do okamžiku, ve kterém Poskytovatel dokončil činnosti směřující k nalezení a poskytnutí řešení vady Nabyvateli, zejména kdy byla Nabyvateli zpřístupněna nová verze Softwaru obsahující řešení. </w:t>
      </w:r>
    </w:p>
    <w:p>
      <w:pPr>
        <w:pStyle w:val="RLlneksmlouvy"/>
        <w:numPr>
          <w:ilvl w:val="0"/>
          <w:numId w:val="0"/>
        </w:numPr>
        <w:spacing w:before="120" w:after="120"/>
        <w:ind w:left="737" w:hanging="0"/>
        <w:rPr/>
      </w:pPr>
      <w:r>
        <w:rPr/>
      </w:r>
    </w:p>
    <w:tbl>
      <w:tblPr>
        <w:tblStyle w:val="Svtltabulkasmkou1zvraznn11"/>
        <w:tblW w:w="5000" w:type="pct"/>
        <w:jc w:val="left"/>
        <w:tblInd w:w="0" w:type="dxa"/>
        <w:tblLayout w:type="fixed"/>
        <w:tblCellMar>
          <w:top w:w="0" w:type="dxa"/>
          <w:left w:w="108" w:type="dxa"/>
          <w:bottom w:w="0" w:type="dxa"/>
          <w:right w:w="108" w:type="dxa"/>
        </w:tblCellMar>
        <w:tblLook w:firstRow="1" w:noVBand="1" w:lastRow="0" w:firstColumn="0" w:lastColumn="0" w:noHBand="1" w:val="0620"/>
      </w:tblPr>
      <w:tblGrid>
        <w:gridCol w:w="1154"/>
        <w:gridCol w:w="2468"/>
        <w:gridCol w:w="1421"/>
        <w:gridCol w:w="1194"/>
        <w:gridCol w:w="1138"/>
        <w:gridCol w:w="993"/>
        <w:gridCol w:w="843"/>
      </w:tblGrid>
      <w:tr>
        <w:trPr>
          <w:cnfStyle w:val="100000000000" w:firstRow="1" w:lastRow="0" w:firstColumn="0" w:lastColumn="0" w:oddVBand="0" w:evenVBand="0" w:oddHBand="0" w:evenHBand="0" w:firstRowFirstColumn="0" w:firstRowLastColumn="0" w:lastRowFirstColumn="0" w:lastRowLastColumn="0"/>
        </w:trPr>
        <w:tc>
          <w:tcPr>
            <w:tcW w:w="1154" w:type="dxa"/>
            <w:tcBorders>
              <w:bottom w:val="single" w:sz="12" w:space="0" w:color="95B3D7"/>
            </w:tcBorders>
          </w:tcPr>
          <w:p>
            <w:pPr>
              <w:pStyle w:val="Normal"/>
              <w:widowControl/>
              <w:spacing w:before="0" w:after="120"/>
              <w:jc w:val="left"/>
              <w:rPr>
                <w:rFonts w:eastAsia="Times New Roman" w:cs="Times New Roman"/>
                <w:b/>
                <w:b/>
                <w:bCs/>
                <w:kern w:val="0"/>
                <w:lang w:val="cs-CZ" w:eastAsia="cs-CZ" w:bidi="ar-SA"/>
              </w:rPr>
            </w:pPr>
            <w:r>
              <w:rPr>
                <w:rFonts w:eastAsia="Times New Roman" w:cs="Times New Roman"/>
                <w:b/>
                <w:bCs/>
                <w:kern w:val="0"/>
                <w:lang w:val="cs-CZ" w:eastAsia="cs-CZ" w:bidi="ar-SA"/>
              </w:rPr>
              <w:t>Závažnost vady</w:t>
            </w:r>
          </w:p>
        </w:tc>
        <w:tc>
          <w:tcPr>
            <w:tcW w:w="2468" w:type="dxa"/>
            <w:tcBorders>
              <w:bottom w:val="single" w:sz="12" w:space="0" w:color="95B3D7"/>
            </w:tcBorders>
          </w:tcPr>
          <w:p>
            <w:pPr>
              <w:pStyle w:val="Normal"/>
              <w:widowControl/>
              <w:spacing w:before="0" w:after="120"/>
              <w:jc w:val="left"/>
              <w:rPr>
                <w:rFonts w:eastAsia="Times New Roman" w:cs="Times New Roman"/>
                <w:b/>
                <w:b/>
                <w:bCs/>
                <w:kern w:val="0"/>
                <w:lang w:val="cs-CZ" w:eastAsia="cs-CZ" w:bidi="ar-SA"/>
              </w:rPr>
            </w:pPr>
            <w:r>
              <w:rPr>
                <w:rFonts w:eastAsia="Times New Roman" w:cs="Times New Roman"/>
                <w:b/>
                <w:bCs/>
                <w:kern w:val="0"/>
                <w:lang w:val="cs-CZ" w:eastAsia="cs-CZ" w:bidi="ar-SA"/>
              </w:rPr>
              <w:t>Definice závažnosti vady</w:t>
            </w:r>
          </w:p>
        </w:tc>
        <w:tc>
          <w:tcPr>
            <w:tcW w:w="1421" w:type="dxa"/>
            <w:tcBorders>
              <w:bottom w:val="single" w:sz="12" w:space="0" w:color="95B3D7"/>
            </w:tcBorders>
          </w:tcPr>
          <w:p>
            <w:pPr>
              <w:pStyle w:val="Normal"/>
              <w:widowControl/>
              <w:spacing w:before="0" w:after="120"/>
              <w:jc w:val="left"/>
              <w:rPr>
                <w:rFonts w:eastAsia="Times New Roman" w:cs="Times New Roman"/>
                <w:b/>
                <w:b/>
                <w:bCs/>
                <w:kern w:val="0"/>
                <w:lang w:val="cs-CZ" w:eastAsia="cs-CZ" w:bidi="ar-SA"/>
              </w:rPr>
            </w:pPr>
            <w:r>
              <w:rPr>
                <w:rFonts w:eastAsia="Times New Roman" w:cs="Times New Roman"/>
                <w:b/>
                <w:bCs/>
                <w:kern w:val="0"/>
                <w:lang w:val="cs-CZ" w:eastAsia="cs-CZ" w:bidi="ar-SA"/>
              </w:rPr>
              <w:t>Doba potvrzení přijetí požadavku v hodinách</w:t>
            </w:r>
          </w:p>
        </w:tc>
        <w:tc>
          <w:tcPr>
            <w:tcW w:w="1194" w:type="dxa"/>
            <w:tcBorders>
              <w:bottom w:val="single" w:sz="12" w:space="0" w:color="95B3D7"/>
            </w:tcBorders>
            <w:shd w:color="auto" w:fill="auto" w:val="clear"/>
          </w:tcPr>
          <w:p>
            <w:pPr>
              <w:pStyle w:val="Normal"/>
              <w:widowControl/>
              <w:spacing w:before="0" w:after="120"/>
              <w:jc w:val="left"/>
              <w:rPr>
                <w:rFonts w:eastAsia="Times New Roman" w:cs="Times New Roman"/>
                <w:b/>
                <w:b/>
                <w:bCs/>
                <w:kern w:val="0"/>
                <w:lang w:val="cs-CZ" w:eastAsia="cs-CZ" w:bidi="ar-SA"/>
              </w:rPr>
            </w:pPr>
            <w:r>
              <w:rPr>
                <w:rFonts w:eastAsia="Times New Roman" w:cs="Times New Roman"/>
                <w:b/>
                <w:bCs/>
                <w:kern w:val="0"/>
                <w:lang w:val="cs-CZ" w:eastAsia="cs-CZ" w:bidi="ar-SA"/>
              </w:rPr>
              <w:t>Doba zahájení řešení v hodinách</w:t>
            </w:r>
          </w:p>
        </w:tc>
        <w:tc>
          <w:tcPr>
            <w:tcW w:w="1138" w:type="dxa"/>
            <w:tcBorders>
              <w:bottom w:val="single" w:sz="12" w:space="0" w:color="95B3D7"/>
            </w:tcBorders>
            <w:shd w:color="auto" w:fill="auto" w:val="clear"/>
          </w:tcPr>
          <w:p>
            <w:pPr>
              <w:pStyle w:val="Normal"/>
              <w:widowControl/>
              <w:spacing w:before="0" w:after="120"/>
              <w:jc w:val="left"/>
              <w:rPr>
                <w:rFonts w:eastAsia="Times New Roman" w:cs="Times New Roman"/>
                <w:b/>
                <w:b/>
                <w:bCs/>
                <w:kern w:val="0"/>
                <w:lang w:val="cs-CZ" w:eastAsia="cs-CZ" w:bidi="ar-SA"/>
              </w:rPr>
            </w:pPr>
            <w:r>
              <w:rPr>
                <w:rFonts w:eastAsia="Times New Roman" w:cs="Times New Roman"/>
                <w:b/>
                <w:bCs/>
                <w:kern w:val="0"/>
                <w:lang w:val="cs-CZ" w:eastAsia="cs-CZ" w:bidi="ar-SA"/>
              </w:rPr>
              <w:t>Doba vyřešení v hodinách</w:t>
            </w:r>
          </w:p>
        </w:tc>
        <w:tc>
          <w:tcPr>
            <w:tcW w:w="993" w:type="dxa"/>
            <w:tcBorders>
              <w:bottom w:val="single" w:sz="12" w:space="0" w:color="95B3D7"/>
            </w:tcBorders>
          </w:tcPr>
          <w:p>
            <w:pPr>
              <w:pStyle w:val="Normal"/>
              <w:widowControl/>
              <w:spacing w:before="0" w:after="120"/>
              <w:jc w:val="left"/>
              <w:rPr>
                <w:rFonts w:eastAsia="Times New Roman" w:cs="Times New Roman"/>
                <w:b/>
                <w:b/>
                <w:bCs/>
                <w:kern w:val="0"/>
                <w:lang w:val="cs-CZ" w:eastAsia="cs-CZ" w:bidi="ar-SA"/>
              </w:rPr>
            </w:pPr>
            <w:r>
              <w:rPr>
                <w:rFonts w:eastAsia="Times New Roman" w:cs="Times New Roman"/>
                <w:b/>
                <w:bCs/>
                <w:kern w:val="0"/>
                <w:lang w:val="cs-CZ" w:eastAsia="cs-CZ" w:bidi="ar-SA"/>
              </w:rPr>
              <w:t>Míra dostupnosti</w:t>
            </w:r>
          </w:p>
        </w:tc>
        <w:tc>
          <w:tcPr>
            <w:tcW w:w="843" w:type="dxa"/>
            <w:tcBorders>
              <w:bottom w:val="single" w:sz="12" w:space="0" w:color="95B3D7"/>
            </w:tcBorders>
          </w:tcPr>
          <w:p>
            <w:pPr>
              <w:pStyle w:val="Normal"/>
              <w:widowControl/>
              <w:spacing w:before="0" w:after="120"/>
              <w:jc w:val="left"/>
              <w:rPr>
                <w:rFonts w:eastAsia="Times New Roman" w:cs="Times New Roman"/>
                <w:b/>
                <w:b/>
                <w:bCs/>
                <w:kern w:val="0"/>
                <w:lang w:val="cs-CZ" w:eastAsia="cs-CZ" w:bidi="ar-SA"/>
              </w:rPr>
            </w:pPr>
            <w:r>
              <w:rPr>
                <w:rFonts w:eastAsia="Times New Roman" w:cs="Times New Roman"/>
                <w:b/>
                <w:bCs/>
                <w:kern w:val="0"/>
                <w:lang w:val="cs-CZ" w:eastAsia="cs-CZ" w:bidi="ar-SA"/>
              </w:rPr>
              <w:t>Řešení **)</w:t>
            </w:r>
          </w:p>
        </w:tc>
      </w:tr>
      <w:tr>
        <w:trPr/>
        <w:tc>
          <w:tcPr>
            <w:tcW w:w="1154"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A </w:t>
            </w:r>
          </w:p>
        </w:tc>
        <w:tc>
          <w:tcPr>
            <w:tcW w:w="2468"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Vada kritická - Provoz celého Software je zcela zastaven.</w:t>
              <w:br/>
              <w:t xml:space="preserve">Vada má kritický vliv na aplikace či stav systému- vyžaduje okamžité řešení. </w:t>
            </w:r>
          </w:p>
        </w:tc>
        <w:tc>
          <w:tcPr>
            <w:tcW w:w="1421"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2 </w:t>
            </w:r>
          </w:p>
        </w:tc>
        <w:tc>
          <w:tcPr>
            <w:tcW w:w="1194" w:type="dxa"/>
            <w:tcBorders/>
            <w:shd w:color="auto" w:fill="auto" w:val="clear"/>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8 </w:t>
            </w:r>
          </w:p>
        </w:tc>
        <w:tc>
          <w:tcPr>
            <w:tcW w:w="1138" w:type="dxa"/>
            <w:tcBorders/>
            <w:shd w:color="auto" w:fill="auto" w:val="clear"/>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16</w:t>
            </w:r>
          </w:p>
        </w:tc>
        <w:tc>
          <w:tcPr>
            <w:tcW w:w="993"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97 %</w:t>
            </w:r>
          </w:p>
        </w:tc>
        <w:tc>
          <w:tcPr>
            <w:tcW w:w="843"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a </w:t>
            </w:r>
          </w:p>
        </w:tc>
      </w:tr>
      <w:tr>
        <w:trPr/>
        <w:tc>
          <w:tcPr>
            <w:tcW w:w="1154" w:type="dxa"/>
            <w:tcBorders/>
          </w:tcPr>
          <w:p>
            <w:pPr>
              <w:pStyle w:val="Normal"/>
              <w:widowControl/>
              <w:spacing w:before="0" w:after="120"/>
              <w:jc w:val="left"/>
              <w:rPr>
                <w:rFonts w:ascii="Cambria Math" w:hAnsi="Cambria Math"/>
              </w:rPr>
            </w:pPr>
            <w:r>
              <w:rPr>
                <w:rFonts w:eastAsia="Times New Roman" w:cs="Times New Roman"/>
                <w:kern w:val="0"/>
                <w:lang w:val="cs-CZ" w:eastAsia="cs-CZ" w:bidi="ar-SA"/>
              </w:rPr>
              <w:t>B </w:t>
            </w:r>
          </w:p>
        </w:tc>
        <w:tc>
          <w:tcPr>
            <w:tcW w:w="2468"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 xml:space="preserve">Vada závažná - je </w:t>
            </w:r>
            <w:bookmarkStart w:id="17" w:name="_Hlk522268666"/>
            <w:r>
              <w:rPr>
                <w:rFonts w:eastAsia="Times New Roman" w:cs="Times New Roman"/>
                <w:kern w:val="0"/>
                <w:lang w:val="cs-CZ" w:eastAsia="cs-CZ" w:bidi="ar-SA"/>
              </w:rPr>
              <w:t>výrazně omezena funkcionalita Software</w:t>
            </w:r>
            <w:bookmarkEnd w:id="17"/>
            <w:r>
              <w:rPr>
                <w:rFonts w:eastAsia="Times New Roman" w:cs="Times New Roman"/>
                <w:kern w:val="0"/>
                <w:lang w:val="cs-CZ" w:eastAsia="cs-CZ" w:bidi="ar-SA"/>
              </w:rPr>
              <w:t>. Provoz je omezen, ale činnosti mohou pokračovat po určitou dobu ve formě náhradního řešení problému.</w:t>
            </w:r>
          </w:p>
        </w:tc>
        <w:tc>
          <w:tcPr>
            <w:tcW w:w="1421"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4 </w:t>
            </w:r>
          </w:p>
        </w:tc>
        <w:tc>
          <w:tcPr>
            <w:tcW w:w="1194" w:type="dxa"/>
            <w:tcBorders/>
            <w:shd w:color="auto" w:fill="auto" w:val="clear"/>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16</w:t>
            </w:r>
          </w:p>
        </w:tc>
        <w:tc>
          <w:tcPr>
            <w:tcW w:w="1138" w:type="dxa"/>
            <w:tcBorders/>
            <w:shd w:color="auto" w:fill="auto" w:val="clear"/>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40</w:t>
            </w:r>
          </w:p>
        </w:tc>
        <w:tc>
          <w:tcPr>
            <w:tcW w:w="993"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r>
          </w:p>
        </w:tc>
        <w:tc>
          <w:tcPr>
            <w:tcW w:w="843"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a, b </w:t>
            </w:r>
          </w:p>
        </w:tc>
      </w:tr>
      <w:tr>
        <w:trPr/>
        <w:tc>
          <w:tcPr>
            <w:tcW w:w="1154"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C </w:t>
            </w:r>
          </w:p>
        </w:tc>
        <w:tc>
          <w:tcPr>
            <w:tcW w:w="2468"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Vada malá - Provoz je problémem ovlivněn, ale lze provozovat bez výrazného omezení.</w:t>
            </w:r>
          </w:p>
        </w:tc>
        <w:tc>
          <w:tcPr>
            <w:tcW w:w="1421"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8 </w:t>
            </w:r>
          </w:p>
        </w:tc>
        <w:tc>
          <w:tcPr>
            <w:tcW w:w="1194" w:type="dxa"/>
            <w:tcBorders/>
            <w:shd w:color="auto" w:fill="auto" w:val="clear"/>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24</w:t>
            </w:r>
          </w:p>
        </w:tc>
        <w:tc>
          <w:tcPr>
            <w:tcW w:w="1138" w:type="dxa"/>
            <w:tcBorders/>
            <w:shd w:color="auto" w:fill="auto" w:val="clear"/>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80</w:t>
            </w:r>
          </w:p>
        </w:tc>
        <w:tc>
          <w:tcPr>
            <w:tcW w:w="993"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r>
          </w:p>
        </w:tc>
        <w:tc>
          <w:tcPr>
            <w:tcW w:w="843"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a, b </w:t>
            </w:r>
          </w:p>
        </w:tc>
      </w:tr>
    </w:tbl>
    <w:p>
      <w:pPr>
        <w:pStyle w:val="RLTextlnkuslovan"/>
        <w:numPr>
          <w:ilvl w:val="0"/>
          <w:numId w:val="0"/>
        </w:numPr>
        <w:ind w:left="0" w:hanging="0"/>
        <w:rPr>
          <w:lang w:eastAsia="en-US"/>
        </w:rPr>
      </w:pPr>
      <w:r>
        <w:rPr>
          <w:b/>
          <w:vertAlign w:val="superscript"/>
          <w:lang w:eastAsia="en-US"/>
        </w:rPr>
        <w:t xml:space="preserve">**) </w:t>
      </w:r>
      <w:r>
        <w:rPr>
          <w:lang w:eastAsia="en-US"/>
        </w:rPr>
        <w:t>a -odstranění vady Software, b - poskytnutí přijatelného náhradního řešení problému.</w:t>
      </w:r>
    </w:p>
    <w:p>
      <w:pPr>
        <w:pStyle w:val="RLTextlnkuslovan"/>
        <w:numPr>
          <w:ilvl w:val="1"/>
          <w:numId w:val="1"/>
        </w:numPr>
        <w:rPr>
          <w:lang w:eastAsia="en-US"/>
        </w:rPr>
      </w:pPr>
      <w:r>
        <w:rPr>
          <w:lang w:eastAsia="en-US"/>
        </w:rPr>
        <w:t>Za nedodržení doby odstranění kritické a závažné vady dle předchozí tabulky naleží Nabyvateli smluvní pokuta dle přehledu níže:</w:t>
      </w:r>
    </w:p>
    <w:p>
      <w:pPr>
        <w:pStyle w:val="RLTextlnkuslovan"/>
        <w:numPr>
          <w:ilvl w:val="0"/>
          <w:numId w:val="0"/>
        </w:numPr>
        <w:spacing w:before="0" w:after="0"/>
        <w:ind w:left="0" w:hanging="0"/>
        <w:rPr>
          <w:b/>
          <w:b/>
          <w:lang w:eastAsia="en-US"/>
        </w:rPr>
      </w:pPr>
      <w:r>
        <w:rPr>
          <w:b/>
          <w:lang w:eastAsia="en-US"/>
        </w:rPr>
      </w:r>
    </w:p>
    <w:tbl>
      <w:tblPr>
        <w:tblStyle w:val="Svtltabulkasmkou1zvraznn11"/>
        <w:tblW w:w="2700" w:type="pct"/>
        <w:jc w:val="left"/>
        <w:tblInd w:w="1413" w:type="dxa"/>
        <w:tblLayout w:type="fixed"/>
        <w:tblCellMar>
          <w:top w:w="0" w:type="dxa"/>
          <w:left w:w="108" w:type="dxa"/>
          <w:bottom w:w="0" w:type="dxa"/>
          <w:right w:w="108" w:type="dxa"/>
        </w:tblCellMar>
        <w:tblLook w:firstRow="1" w:noVBand="1" w:lastRow="0" w:firstColumn="0" w:lastColumn="0" w:noHBand="1" w:val="0620"/>
      </w:tblPr>
      <w:tblGrid>
        <w:gridCol w:w="1635"/>
        <w:gridCol w:w="3338"/>
      </w:tblGrid>
      <w:tr>
        <w:trPr>
          <w:cnfStyle w:val="100000000000" w:firstRow="1" w:lastRow="0" w:firstColumn="0" w:lastColumn="0" w:oddVBand="0" w:evenVBand="0" w:oddHBand="0" w:evenHBand="0" w:firstRowFirstColumn="0" w:firstRowLastColumn="0" w:lastRowFirstColumn="0" w:lastRowLastColumn="0"/>
        </w:trPr>
        <w:tc>
          <w:tcPr>
            <w:tcW w:w="1635" w:type="dxa"/>
            <w:tcBorders>
              <w:bottom w:val="single" w:sz="12" w:space="0" w:color="95B3D7"/>
            </w:tcBorders>
          </w:tcPr>
          <w:p>
            <w:pPr>
              <w:pStyle w:val="Normal"/>
              <w:widowControl/>
              <w:spacing w:before="0" w:after="120"/>
              <w:jc w:val="left"/>
              <w:rPr>
                <w:rFonts w:ascii="Calibri" w:hAnsi="Calibri" w:cs="Calibri" w:asciiTheme="minorHAnsi" w:cstheme="minorHAnsi" w:hAnsiTheme="minorHAnsi"/>
                <w:szCs w:val="22"/>
              </w:rPr>
            </w:pPr>
            <w:r>
              <w:rPr>
                <w:rFonts w:eastAsia="Times New Roman" w:cs="Calibri" w:cstheme="minorHAnsi"/>
                <w:b/>
                <w:bCs/>
                <w:kern w:val="0"/>
                <w:szCs w:val="22"/>
                <w:lang w:val="cs-CZ" w:eastAsia="cs-CZ" w:bidi="ar-SA"/>
              </w:rPr>
              <w:t>Závažnost vady</w:t>
            </w:r>
          </w:p>
        </w:tc>
        <w:tc>
          <w:tcPr>
            <w:tcW w:w="3338" w:type="dxa"/>
            <w:tcBorders>
              <w:bottom w:val="single" w:sz="12" w:space="0" w:color="95B3D7"/>
            </w:tcBorders>
          </w:tcPr>
          <w:p>
            <w:pPr>
              <w:pStyle w:val="Normal"/>
              <w:widowControl/>
              <w:spacing w:before="0" w:after="120"/>
              <w:jc w:val="left"/>
              <w:rPr>
                <w:rFonts w:ascii="Calibri" w:hAnsi="Calibri" w:cs="Calibri" w:asciiTheme="minorHAnsi" w:cstheme="minorHAnsi" w:hAnsiTheme="minorHAnsi"/>
                <w:szCs w:val="22"/>
              </w:rPr>
            </w:pPr>
            <w:r>
              <w:rPr>
                <w:rFonts w:eastAsia="Times New Roman" w:cs="Calibri" w:cstheme="minorHAnsi"/>
                <w:b/>
                <w:bCs/>
                <w:kern w:val="0"/>
                <w:szCs w:val="22"/>
                <w:lang w:val="cs-CZ" w:eastAsia="cs-CZ" w:bidi="ar-SA"/>
              </w:rPr>
              <w:t xml:space="preserve">Výše smluvní pokuty v CZK za každý případ </w:t>
            </w:r>
          </w:p>
        </w:tc>
      </w:tr>
      <w:tr>
        <w:trPr/>
        <w:tc>
          <w:tcPr>
            <w:tcW w:w="1635" w:type="dxa"/>
            <w:tcBorders/>
          </w:tcPr>
          <w:p>
            <w:pPr>
              <w:pStyle w:val="Normal"/>
              <w:widowControl/>
              <w:spacing w:before="0" w:after="120"/>
              <w:jc w:val="left"/>
              <w:rPr>
                <w:rFonts w:ascii="Calibri" w:hAnsi="Calibri" w:cs="Calibri" w:asciiTheme="minorHAnsi" w:cstheme="minorHAnsi" w:hAnsiTheme="minorHAnsi"/>
                <w:szCs w:val="22"/>
              </w:rPr>
            </w:pPr>
            <w:r>
              <w:rPr>
                <w:rFonts w:eastAsia="Times New Roman" w:cs="Calibri" w:cstheme="minorHAnsi"/>
                <w:kern w:val="0"/>
                <w:szCs w:val="22"/>
                <w:lang w:val="cs-CZ" w:eastAsia="cs-CZ" w:bidi="ar-SA"/>
              </w:rPr>
              <w:t>A</w:t>
            </w:r>
          </w:p>
        </w:tc>
        <w:tc>
          <w:tcPr>
            <w:tcW w:w="3338" w:type="dxa"/>
            <w:tcBorders/>
          </w:tcPr>
          <w:p>
            <w:pPr>
              <w:pStyle w:val="Normal"/>
              <w:widowControl/>
              <w:spacing w:before="0" w:after="120"/>
              <w:jc w:val="left"/>
              <w:rPr>
                <w:rFonts w:ascii="Calibri" w:hAnsi="Calibri" w:cs="Calibri" w:asciiTheme="minorHAnsi" w:cstheme="minorHAnsi" w:hAnsiTheme="minorHAnsi"/>
                <w:szCs w:val="22"/>
              </w:rPr>
            </w:pPr>
            <w:r>
              <w:rPr>
                <w:rFonts w:eastAsia="Times New Roman" w:cs="Calibri" w:cstheme="minorHAnsi"/>
                <w:kern w:val="0"/>
                <w:szCs w:val="22"/>
                <w:lang w:val="cs-CZ" w:eastAsia="cs-CZ" w:bidi="ar-SA"/>
              </w:rPr>
              <w:t>1500</w:t>
            </w:r>
          </w:p>
        </w:tc>
      </w:tr>
      <w:tr>
        <w:trPr/>
        <w:tc>
          <w:tcPr>
            <w:tcW w:w="1635" w:type="dxa"/>
            <w:tcBorders/>
          </w:tcPr>
          <w:p>
            <w:pPr>
              <w:pStyle w:val="Normal"/>
              <w:widowControl/>
              <w:spacing w:before="0" w:after="120"/>
              <w:jc w:val="left"/>
              <w:rPr>
                <w:rFonts w:ascii="Calibri" w:hAnsi="Calibri" w:cs="Calibri" w:asciiTheme="minorHAnsi" w:cstheme="minorHAnsi" w:hAnsiTheme="minorHAnsi"/>
                <w:szCs w:val="22"/>
              </w:rPr>
            </w:pPr>
            <w:r>
              <w:rPr>
                <w:rFonts w:eastAsia="Times New Roman" w:cs="Calibri" w:cstheme="minorHAnsi"/>
                <w:kern w:val="0"/>
                <w:szCs w:val="22"/>
                <w:lang w:val="cs-CZ" w:eastAsia="cs-CZ" w:bidi="ar-SA"/>
              </w:rPr>
              <w:t>B </w:t>
            </w:r>
          </w:p>
        </w:tc>
        <w:tc>
          <w:tcPr>
            <w:tcW w:w="3338" w:type="dxa"/>
            <w:tcBorders/>
          </w:tcPr>
          <w:p>
            <w:pPr>
              <w:pStyle w:val="Normal"/>
              <w:widowControl/>
              <w:spacing w:before="0" w:after="120"/>
              <w:jc w:val="left"/>
              <w:rPr>
                <w:rFonts w:ascii="Calibri" w:hAnsi="Calibri" w:cs="Calibri" w:asciiTheme="minorHAnsi" w:cstheme="minorHAnsi" w:hAnsiTheme="minorHAnsi"/>
                <w:szCs w:val="22"/>
              </w:rPr>
            </w:pPr>
            <w:r>
              <w:rPr>
                <w:rFonts w:eastAsia="Times New Roman" w:cs="Calibri" w:cstheme="minorHAnsi"/>
                <w:kern w:val="0"/>
                <w:szCs w:val="22"/>
                <w:lang w:val="cs-CZ" w:eastAsia="cs-CZ" w:bidi="ar-SA"/>
              </w:rPr>
              <w:t>500</w:t>
            </w:r>
          </w:p>
        </w:tc>
      </w:tr>
    </w:tbl>
    <w:p>
      <w:pPr>
        <w:pStyle w:val="RLTextlnkuslovan"/>
        <w:numPr>
          <w:ilvl w:val="0"/>
          <w:numId w:val="0"/>
        </w:numPr>
        <w:ind w:left="1474" w:hanging="0"/>
        <w:rPr/>
      </w:pPr>
      <w:r>
        <w:rPr/>
      </w:r>
    </w:p>
    <w:p>
      <w:pPr>
        <w:pStyle w:val="RLTextlnkuslovan"/>
        <w:numPr>
          <w:ilvl w:val="1"/>
          <w:numId w:val="1"/>
        </w:numPr>
        <w:rPr>
          <w:lang w:eastAsia="en-US"/>
        </w:rPr>
      </w:pPr>
      <w:r>
        <w:rPr>
          <w:lang w:eastAsia="en-US"/>
        </w:rPr>
        <w:t>Za nesplnění minimální dostupnosti dle výše uvedené tabulky vznikne Nabyvateli právo na zaplacení smluvní pokuty ve výši 800 CZK za každé 0,1 % pod limit dostupnosti.</w:t>
      </w:r>
    </w:p>
    <w:p>
      <w:pPr>
        <w:pStyle w:val="RLTextlnkuslovan"/>
        <w:numPr>
          <w:ilvl w:val="1"/>
          <w:numId w:val="1"/>
        </w:numPr>
        <w:rPr>
          <w:lang w:eastAsia="en-US"/>
        </w:rPr>
      </w:pPr>
      <w:r>
        <w:rPr>
          <w:lang w:eastAsia="en-US"/>
        </w:rPr>
        <w:t>Právo Nabyvatele na smluvní pokutu vzniká pouze v případě, že roční výše smluvních pokut přesáhne 8000 CZK.</w:t>
      </w:r>
    </w:p>
    <w:p>
      <w:pPr>
        <w:pStyle w:val="RLTextlnkuslovan"/>
        <w:numPr>
          <w:ilvl w:val="1"/>
          <w:numId w:val="1"/>
        </w:numPr>
        <w:rPr>
          <w:lang w:eastAsia="en-US"/>
        </w:rPr>
      </w:pPr>
      <w:r>
        <w:rPr>
          <w:lang w:eastAsia="en-US"/>
        </w:rPr>
        <w:t xml:space="preserve">Při prodlení Poskytovatele oproti Harmonogramu plnění dle Přílohy č. 4, které nebude způsobené Nabyvatelem, má Nabyvatel nárok na smluvní pokutu ve výši </w:t>
      </w:r>
      <w:r>
        <w:rPr>
          <w:rFonts w:cs="Calibri"/>
          <w:lang w:eastAsia="en-US"/>
        </w:rPr>
        <w:t>1.000,-</w:t>
      </w:r>
      <w:r>
        <w:rPr>
          <w:lang w:eastAsia="en-US"/>
        </w:rPr>
        <w:t xml:space="preserve"> Kč za každý započatý den prodlení.</w:t>
      </w:r>
    </w:p>
    <w:p>
      <w:pPr>
        <w:pStyle w:val="RLTextlnkuslovan"/>
        <w:numPr>
          <w:ilvl w:val="1"/>
          <w:numId w:val="1"/>
        </w:numPr>
        <w:rPr>
          <w:lang w:eastAsia="en-US"/>
        </w:rPr>
      </w:pPr>
      <w:r>
        <w:rPr>
          <w:lang w:eastAsia="en-US"/>
        </w:rPr>
        <w:t>Zaplacením smluvní pokuty není dotčeno právo na náhradu vzniklé škody v souvislosti s porušením Smlouvy, a to za podmínek stanovených čl. 9.2 Obchodních Podmínek.</w:t>
      </w:r>
    </w:p>
    <w:p>
      <w:pPr>
        <w:pStyle w:val="RLlneksmlouvy"/>
        <w:numPr>
          <w:ilvl w:val="0"/>
          <w:numId w:val="1"/>
        </w:numPr>
        <w:rPr/>
      </w:pPr>
      <w:r>
        <w:rPr/>
        <w:t>DOBA TRVÁNÍ SMLOUVY</w:t>
      </w:r>
    </w:p>
    <w:p>
      <w:pPr>
        <w:pStyle w:val="RLTextlnkuslovan"/>
        <w:numPr>
          <w:ilvl w:val="1"/>
          <w:numId w:val="1"/>
        </w:numPr>
        <w:rPr>
          <w:lang w:eastAsia="en-US"/>
        </w:rPr>
      </w:pPr>
      <w:r>
        <w:rPr/>
        <w:t xml:space="preserve">Tato Smlouva se uzavírá </w:t>
      </w:r>
      <w:r>
        <w:rPr>
          <w:highlight w:val="yellow"/>
        </w:rPr>
        <w:t>od 1.7.2022 na dobu neurčitou</w:t>
      </w:r>
      <w:r>
        <w:rPr>
          <w:lang w:eastAsia="en-US"/>
        </w:rPr>
        <w:t xml:space="preserve">. Ukončením této Smlouvy dochází rovněž k zániku jednotlivých objednávek uzavřených na základě této Smlouvy, ledaže z povahy takové objednávky vyplývá jinak. </w:t>
      </w:r>
    </w:p>
    <w:p>
      <w:pPr>
        <w:pStyle w:val="RLTextlnkuslovan"/>
        <w:numPr>
          <w:ilvl w:val="1"/>
          <w:numId w:val="1"/>
        </w:numPr>
        <w:rPr>
          <w:lang w:eastAsia="en-US"/>
        </w:rPr>
      </w:pPr>
      <w:r>
        <w:rPr>
          <w:lang w:eastAsia="en-US"/>
        </w:rPr>
        <w:t>Tuto Smlouvu lze dále ukončit:</w:t>
      </w:r>
    </w:p>
    <w:p>
      <w:pPr>
        <w:pStyle w:val="RLTextlnkuslovan"/>
        <w:numPr>
          <w:ilvl w:val="0"/>
          <w:numId w:val="2"/>
        </w:numPr>
        <w:rPr>
          <w:lang w:eastAsia="en-US"/>
        </w:rPr>
      </w:pPr>
      <w:r>
        <w:rPr>
          <w:lang w:eastAsia="en-US"/>
        </w:rPr>
        <w:t>písemnou dohodou smluvních stran, jejíž nedílnou součástí je i vypořádání vzájemných práv a povinností, ke dni účinnosti této dohody</w:t>
      </w:r>
      <w:r>
        <w:rPr>
          <w:lang w:val="en-US" w:eastAsia="en-US"/>
        </w:rPr>
        <w:t>;</w:t>
      </w:r>
    </w:p>
    <w:p>
      <w:pPr>
        <w:pStyle w:val="RLTextlnkuslovan"/>
        <w:numPr>
          <w:ilvl w:val="0"/>
          <w:numId w:val="2"/>
        </w:numPr>
        <w:rPr>
          <w:lang w:eastAsia="en-US"/>
        </w:rPr>
      </w:pPr>
      <w:r>
        <w:rPr>
          <w:lang w:eastAsia="en-US"/>
        </w:rPr>
        <w:t>písemnou výpovědí s výpovědní dobou v délce tří (3) měsíce; výpovědní doba počíná běžet prvním dnem měsíce následujícího po prokazatelném doručení výpovědi druhé smluvní straně</w:t>
      </w:r>
      <w:r>
        <w:rPr>
          <w:lang w:val="en-US" w:eastAsia="en-US"/>
        </w:rPr>
        <w:t xml:space="preserve">; </w:t>
      </w:r>
    </w:p>
    <w:p>
      <w:pPr>
        <w:pStyle w:val="RLTextlnkuslovan"/>
        <w:numPr>
          <w:ilvl w:val="0"/>
          <w:numId w:val="2"/>
        </w:numPr>
        <w:rPr>
          <w:lang w:eastAsia="en-US"/>
        </w:rPr>
      </w:pPr>
      <w:r>
        <w:rPr>
          <w:lang w:eastAsia="en-US"/>
        </w:rPr>
        <w:t xml:space="preserve">odstoupením od Smlouvy jedné ze smluvních stran v případě podstatného porušení povinností druhou smluvní stranou. </w:t>
      </w:r>
    </w:p>
    <w:p>
      <w:pPr>
        <w:pStyle w:val="RLTextlnkuslovan"/>
        <w:numPr>
          <w:ilvl w:val="1"/>
          <w:numId w:val="1"/>
        </w:numPr>
        <w:rPr>
          <w:lang w:eastAsia="en-US"/>
        </w:rPr>
      </w:pPr>
      <w:r>
        <w:rPr>
          <w:lang w:eastAsia="en-US"/>
        </w:rPr>
        <w:t xml:space="preserve">Za podstatné porušení povinností Nabyvatele se považuje zejména (i) použití Software v rozporu s touto Smlouvou, pokud nedojde k odstranění takového porušení Smlouvy do 30 dnů od doručení upozornění na porušení Smlouvy ze strany Poskytovatele, (ii) prodlení s placením ceny po dobu delší než 60 dnů, (iii) prodlení s plněním jiných povinností dle této Smlouvy po dobu delší než 30 dnů. </w:t>
      </w:r>
    </w:p>
    <w:p>
      <w:pPr>
        <w:pStyle w:val="RLTextlnkuslovan"/>
        <w:numPr>
          <w:ilvl w:val="1"/>
          <w:numId w:val="1"/>
        </w:numPr>
        <w:rPr>
          <w:lang w:eastAsia="en-US"/>
        </w:rPr>
      </w:pPr>
      <w:r>
        <w:rPr>
          <w:lang w:eastAsia="en-US"/>
        </w:rPr>
        <w:t xml:space="preserve">Za podstatné porušení povinností Poskytovatele se považuje zejména (i) překročení doby k vyřešení vady typu A o více než 40 hodin Pracovní doby, (ii) pokud doba dostupnosti Softwaru za kalendářní měsíc klesne pod 80 %, (iii) prodlení s plněním jiných povinností dle této Smlouvy nebo Obchodních podmínek po dobu delší než 30 dnů. </w:t>
      </w:r>
    </w:p>
    <w:p>
      <w:pPr>
        <w:pStyle w:val="RLTextlnkuslovan"/>
        <w:numPr>
          <w:ilvl w:val="1"/>
          <w:numId w:val="1"/>
        </w:numPr>
        <w:rPr>
          <w:lang w:eastAsia="en-US"/>
        </w:rPr>
      </w:pPr>
      <w:r>
        <w:rPr>
          <w:lang w:eastAsia="en-US"/>
        </w:rPr>
        <w:t>Smluvní strany se zavazují po zániku Smlouvy z jakýchkoliv důvodů provést inventarizaci veškerých nevypořádaných plnění k datu skončení Smlouvy. Výsledkem této inventarizace je protokol podepsaný oběma smluvními stranami potvrzující finanční hodnotu doposud nevypořádaných plnění; smluvní strany se zavazují zaprotokolované závazky vyrovnat nejpozději do 30 dnů ode dne podepsání protokolu oběma smluvními stranami.</w:t>
      </w:r>
    </w:p>
    <w:p>
      <w:pPr>
        <w:pStyle w:val="RLTextlnkuslovan"/>
        <w:numPr>
          <w:ilvl w:val="1"/>
          <w:numId w:val="1"/>
        </w:numPr>
        <w:rPr>
          <w:lang w:eastAsia="en-US"/>
        </w:rPr>
      </w:pPr>
      <w:bookmarkStart w:id="18" w:name="_Ref524097920"/>
      <w:r>
        <w:rPr>
          <w:lang w:eastAsia="en-US"/>
        </w:rPr>
        <w:t xml:space="preserve">V případě ukončení Smlouvy a po předání Dat Nabyvatele Nabyvateli Poskytovatel veškerá Data Nabyvatele smaže z veškerých svých systémů (včetně záložních médií) a nebude je dále uchovávat. O takovém výmazu je Poskytovatel povinen poskytnout na žádost Nabyvatele písemné potvrzení. </w:t>
      </w:r>
      <w:bookmarkEnd w:id="18"/>
    </w:p>
    <w:p>
      <w:pPr>
        <w:pStyle w:val="RLTextlnkuslovan"/>
        <w:numPr>
          <w:ilvl w:val="1"/>
          <w:numId w:val="1"/>
        </w:numPr>
        <w:rPr>
          <w:lang w:eastAsia="en-US"/>
        </w:rPr>
      </w:pPr>
      <w:r>
        <w:rPr>
          <w:lang w:eastAsia="en-US"/>
        </w:rPr>
        <w:t xml:space="preserve">Ukončením Smlouvy nejsou dotčena licenční práva Nabyvatele k Softwaru dle čl. 3.4 Smlouvy o dodání software č. </w:t>
      </w:r>
      <w:r>
        <w:rPr>
          <w:highlight w:val="yellow"/>
          <w:lang w:eastAsia="en-US"/>
        </w:rPr>
        <w:t>SWR/19/314</w:t>
      </w:r>
      <w:r>
        <w:rPr>
          <w:lang w:eastAsia="en-US"/>
        </w:rPr>
        <w:t xml:space="preserve"> uzavřené dne </w:t>
      </w:r>
      <w:r>
        <w:rPr>
          <w:highlight w:val="yellow"/>
          <w:lang w:eastAsia="en-US"/>
        </w:rPr>
        <w:t>28.07.2020</w:t>
      </w:r>
      <w:r>
        <w:rPr>
          <w:lang w:eastAsia="en-US"/>
        </w:rPr>
        <w:t xml:space="preserve"> a případná práva a nároky Nabyvatele na náhradu škody vzniklé z této Smlouvy, kromě škod vzniklých po ukončení Smlouvy z důvodu využívání starších verzí zakoupeného Software bez nainstalovaných aktualizací. </w:t>
      </w:r>
    </w:p>
    <w:p>
      <w:pPr>
        <w:pStyle w:val="RLlneksmlouvy"/>
        <w:numPr>
          <w:ilvl w:val="0"/>
          <w:numId w:val="1"/>
        </w:numPr>
        <w:rPr/>
      </w:pPr>
      <w:r>
        <w:rPr/>
        <w:t>ZÁVĚREČNÁ USTANOVENÍ</w:t>
      </w:r>
    </w:p>
    <w:p>
      <w:pPr>
        <w:pStyle w:val="RLTextlnkuslovan"/>
        <w:numPr>
          <w:ilvl w:val="1"/>
          <w:numId w:val="1"/>
        </w:numPr>
        <w:rPr/>
      </w:pPr>
      <w:bookmarkStart w:id="19" w:name="_Ref18917585"/>
      <w:bookmarkStart w:id="20" w:name="_Ref522628146"/>
      <w:r>
        <w:rPr/>
        <w:t>Smluvní strany se dohodly na následující aplikační přednosti jednotlivých dokumentů: (1) tato Smlouva, (2) jakákoliv objednávka vystavená na základě této Smlouvy, (3) přílohy této Smlouvy (s výjimkou Obchodních podmínek) a (4) Obchodní podmínky tvořící přílohu č. 5 této Smlouvy.</w:t>
      </w:r>
      <w:bookmarkEnd w:id="20"/>
      <w:r>
        <w:rPr/>
        <w:t xml:space="preserve"> Pro oblast zpracování osobních údajů má Smlouva o zpracování osobních údajů stejnou aplikační sílu jako tato Smlouva.</w:t>
      </w:r>
      <w:bookmarkEnd w:id="19"/>
      <w:r>
        <w:rPr/>
        <w:t xml:space="preserve"> </w:t>
      </w:r>
    </w:p>
    <w:p>
      <w:pPr>
        <w:pStyle w:val="RLTextlnkuslovan"/>
        <w:numPr>
          <w:ilvl w:val="2"/>
          <w:numId w:val="1"/>
        </w:numPr>
        <w:rPr/>
      </w:pPr>
      <w:r>
        <w:rPr/>
        <w:t xml:space="preserve">Odchylky od Obchodních podmínek: </w:t>
      </w:r>
    </w:p>
    <w:p>
      <w:pPr>
        <w:pStyle w:val="RLTextlnkuslovan"/>
        <w:numPr>
          <w:ilvl w:val="3"/>
          <w:numId w:val="1"/>
        </w:numPr>
        <w:tabs>
          <w:tab w:val="clear" w:pos="708"/>
          <w:tab w:val="left" w:pos="1985" w:leader="none"/>
        </w:tabs>
        <w:ind w:left="3062" w:hanging="1361"/>
        <w:rPr/>
      </w:pPr>
      <w:r>
        <w:rPr/>
        <w:t xml:space="preserve">odst. 8.3 Obchodních podmínek se nahrazuje tímto zněním: </w:t>
      </w:r>
    </w:p>
    <w:p>
      <w:pPr>
        <w:pStyle w:val="RLTextlnkuslovan"/>
        <w:numPr>
          <w:ilvl w:val="0"/>
          <w:numId w:val="0"/>
        </w:numPr>
        <w:ind w:left="1418" w:hanging="0"/>
        <w:rPr>
          <w:lang w:eastAsia="en-US"/>
        </w:rPr>
      </w:pPr>
      <w:r>
        <w:rPr>
          <w:lang w:eastAsia="en-US"/>
        </w:rPr>
        <w:t xml:space="preserve">Nabyvatel se zavazuje k úhradě ceny za poskytování Technické podpory dle čl. 4 ve čtyřech čtvrtletních splátkách ve výši 1/4 roční ceny, a to na základě faktury vystavené vždy do 15. dne prvního měsíce kalendářního čtvrtletí, za které je prováděna platba. V případě, že technická podpora nebude poskytována celé čtvrtletí, vyfakturuje se poměrná část. Dnem uskutečnění zdanitelného plnění je datum vystavení daňového dokladu. Cena roční Technické podpory může být Poskytovatelem v každém roce platnosti Smlouvy navýšena v souladu s oficiální mírou inflace definovanou Českým statistickým úřadem. </w:t>
      </w:r>
    </w:p>
    <w:p>
      <w:pPr>
        <w:pStyle w:val="RLTextlnkuslovan"/>
        <w:numPr>
          <w:ilvl w:val="1"/>
          <w:numId w:val="1"/>
        </w:numPr>
        <w:rPr/>
      </w:pPr>
      <w:r>
        <w:rPr/>
        <w:t>Tato Smlouva je vyhotovena ve 2 stejnopisech, z nichž každá smluvní strana obdrží po 1 vyhotovení.</w:t>
      </w:r>
      <w:bookmarkStart w:id="21" w:name="_Hlk520361100"/>
      <w:bookmarkEnd w:id="21"/>
    </w:p>
    <w:p>
      <w:pPr>
        <w:pStyle w:val="RLTextlnkuslovan"/>
        <w:numPr>
          <w:ilvl w:val="1"/>
          <w:numId w:val="1"/>
        </w:numPr>
        <w:rPr/>
      </w:pPr>
      <w:r>
        <w:rPr/>
        <w:t>Smlouva představuje úplnou dohodu smluvních stran o předmětu Smlouvy a nahrazuje veškerá předešlá ujednání smluvních stran o předmětu Smlouvy, ústní i písemná. Tímto ustanovením není dotčena samostatná Smlouva o zpracování osobních údajů.</w:t>
      </w:r>
    </w:p>
    <w:p>
      <w:pPr>
        <w:pStyle w:val="RLTextlnkuslovan"/>
        <w:numPr>
          <w:ilvl w:val="1"/>
          <w:numId w:val="1"/>
        </w:numPr>
        <w:rPr/>
      </w:pPr>
      <w:r>
        <w:rPr/>
        <w:t>Smlouvu je možné měnit pouze písemnou dohodou smluvních stran ve formě číslovaných dodatků Smlouvy, podepsaných za každou smluvní stranu osobou nebo osobami oprávněnými jednat jménem smluvních stran.</w:t>
      </w:r>
    </w:p>
    <w:p>
      <w:pPr>
        <w:pStyle w:val="RLTextlnkuslovan"/>
        <w:numPr>
          <w:ilvl w:val="1"/>
          <w:numId w:val="1"/>
        </w:numPr>
        <w:rPr/>
      </w:pPr>
      <w:r>
        <w:rPr/>
        <w:t>Žádná ze smluvních stran není oprávněna postoupit svá práva a povinnosti vyplývající ze Smlouvy třetí osobě bez předchozího písemného souhlasu druhé smluvní strany.</w:t>
      </w:r>
    </w:p>
    <w:p>
      <w:pPr>
        <w:pStyle w:val="RLTextlnkuslovan"/>
        <w:numPr>
          <w:ilvl w:val="1"/>
          <w:numId w:val="1"/>
        </w:numPr>
        <w:rPr>
          <w:lang w:eastAsia="en-US"/>
        </w:rPr>
      </w:pPr>
      <w:r>
        <w:rPr/>
        <w:t>Veškerá práva a povinnosti vyplývající ze Smlouvy přecházejí, pokud to povaha těchto práv a povinností nevylučuje, na právní nástupce smluvních stran.</w:t>
      </w:r>
    </w:p>
    <w:p>
      <w:pPr>
        <w:pStyle w:val="RLTextlnkuslovan"/>
        <w:numPr>
          <w:ilvl w:val="1"/>
          <w:numId w:val="1"/>
        </w:numPr>
        <w:rPr/>
      </w:pPr>
      <w:r>
        <w:rPr/>
        <w:t>Odpovědnou osobou za Nabyvatele, která je oprávněna podepsat Detailní realizační projekt je: Tomáš Kubát, vedoucí oddělení ICT. Odpovědnou osobou za Poskytovatele, která je oprávněna podepsat Detailní realizační projekt je: Václav Bareš, Key Account Manager.</w:t>
      </w:r>
    </w:p>
    <w:p>
      <w:pPr>
        <w:pStyle w:val="RLTextlnkuslovan"/>
        <w:numPr>
          <w:ilvl w:val="1"/>
          <w:numId w:val="1"/>
        </w:numPr>
        <w:rPr/>
      </w:pPr>
      <w:r>
        <w:rPr/>
        <w:t>Smluvní strany tímto prohlašují, že plnění sjednaná Smlouvou nejsou ve vzájemném hrubém nepoměru a že smluvní strany měly právo smluvní podmínky vyjednávat a ovlivnit.</w:t>
      </w:r>
    </w:p>
    <w:p>
      <w:pPr>
        <w:pStyle w:val="RLTextlnkuslovan"/>
        <w:numPr>
          <w:ilvl w:val="1"/>
          <w:numId w:val="1"/>
        </w:numPr>
        <w:rPr/>
      </w:pPr>
      <w:r>
        <w:rPr>
          <w:lang w:eastAsia="en-US"/>
        </w:rPr>
        <w:t>Smluvní strany souhlasí, aby Smlouva byla zveřejněna v plném rozsahu v elektronickém registru smluv, který slouží k uveřejňování smluv dle zákona č. 340/2015 Sb., ve znění pozdějších předpisů.</w:t>
      </w:r>
    </w:p>
    <w:p>
      <w:pPr>
        <w:pStyle w:val="RLTextlnkuslovan"/>
        <w:numPr>
          <w:ilvl w:val="1"/>
          <w:numId w:val="1"/>
        </w:numPr>
        <w:rPr/>
      </w:pPr>
      <w:r>
        <w:rPr/>
        <w:t>Nedílnou součást Smlouvy tvoří tyto přílohy:</w:t>
      </w:r>
    </w:p>
    <w:tbl>
      <w:tblPr>
        <w:tblW w:w="5000" w:type="pct"/>
        <w:jc w:val="center"/>
        <w:tblInd w:w="0" w:type="dxa"/>
        <w:tblLayout w:type="fixed"/>
        <w:tblCellMar>
          <w:top w:w="0" w:type="dxa"/>
          <w:left w:w="108" w:type="dxa"/>
          <w:bottom w:w="0" w:type="dxa"/>
          <w:right w:w="108" w:type="dxa"/>
        </w:tblCellMar>
        <w:tblLook w:firstRow="1" w:noVBand="0" w:lastRow="1" w:firstColumn="1" w:lastColumn="1" w:noHBand="0" w:val="01e0"/>
      </w:tblPr>
      <w:tblGrid>
        <w:gridCol w:w="4134"/>
        <w:gridCol w:w="5077"/>
      </w:tblGrid>
      <w:tr>
        <w:trPr/>
        <w:tc>
          <w:tcPr>
            <w:tcW w:w="4134" w:type="dxa"/>
            <w:tcBorders/>
          </w:tcPr>
          <w:p>
            <w:pPr>
              <w:pStyle w:val="RLSeznamploh"/>
              <w:widowControl w:val="false"/>
              <w:spacing w:before="0" w:after="120"/>
              <w:ind w:left="3572" w:hanging="1361"/>
              <w:rPr/>
            </w:pPr>
            <w:bookmarkStart w:id="22" w:name="ListAnnex01"/>
            <w:r>
              <w:rPr/>
              <w:t>Příloha č. 1</w:t>
            </w:r>
            <w:bookmarkEnd w:id="22"/>
            <w:r>
              <w:rPr/>
              <w:t>:</w:t>
            </w:r>
          </w:p>
        </w:tc>
        <w:tc>
          <w:tcPr>
            <w:tcW w:w="5077" w:type="dxa"/>
            <w:tcBorders/>
          </w:tcPr>
          <w:p>
            <w:pPr>
              <w:pStyle w:val="Normal"/>
              <w:widowControl w:val="false"/>
              <w:spacing w:before="0" w:after="120"/>
              <w:rPr/>
            </w:pPr>
            <w:r>
              <w:rPr/>
              <w:t>Technická specifikace</w:t>
            </w:r>
          </w:p>
        </w:tc>
      </w:tr>
      <w:tr>
        <w:trPr/>
        <w:tc>
          <w:tcPr>
            <w:tcW w:w="4134" w:type="dxa"/>
            <w:tcBorders/>
          </w:tcPr>
          <w:p>
            <w:pPr>
              <w:pStyle w:val="RLSeznamploh"/>
              <w:widowControl w:val="false"/>
              <w:spacing w:before="0" w:after="120"/>
              <w:ind w:left="3572" w:hanging="1361"/>
              <w:rPr/>
            </w:pPr>
            <w:bookmarkStart w:id="23" w:name="ListAnnex02"/>
            <w:r>
              <w:rPr/>
              <w:t>Příloha č. 2</w:t>
            </w:r>
            <w:bookmarkEnd w:id="23"/>
            <w:r>
              <w:rPr/>
              <w:t>A:</w:t>
            </w:r>
          </w:p>
        </w:tc>
        <w:tc>
          <w:tcPr>
            <w:tcW w:w="5077" w:type="dxa"/>
            <w:tcBorders/>
          </w:tcPr>
          <w:p>
            <w:pPr>
              <w:pStyle w:val="Normal"/>
              <w:widowControl w:val="false"/>
              <w:spacing w:before="0" w:after="120"/>
              <w:rPr/>
            </w:pPr>
            <w:r>
              <w:rPr/>
              <w:t>Hot Line, Help Desk, Vzdálený přístup</w:t>
            </w:r>
          </w:p>
        </w:tc>
      </w:tr>
      <w:tr>
        <w:trPr/>
        <w:tc>
          <w:tcPr>
            <w:tcW w:w="4134" w:type="dxa"/>
            <w:tcBorders/>
          </w:tcPr>
          <w:p>
            <w:pPr>
              <w:pStyle w:val="RLSeznamploh"/>
              <w:widowControl w:val="false"/>
              <w:spacing w:before="0" w:after="120"/>
              <w:ind w:left="3572" w:hanging="1361"/>
              <w:rPr/>
            </w:pPr>
            <w:bookmarkStart w:id="24" w:name="ListAnnex04"/>
            <w:bookmarkEnd w:id="24"/>
            <w:r>
              <w:rPr/>
              <w:t>Příloha č. 2B:</w:t>
            </w:r>
          </w:p>
        </w:tc>
        <w:tc>
          <w:tcPr>
            <w:tcW w:w="5077" w:type="dxa"/>
            <w:tcBorders/>
          </w:tcPr>
          <w:p>
            <w:pPr>
              <w:pStyle w:val="Normal"/>
              <w:widowControl w:val="false"/>
              <w:spacing w:before="0" w:after="120"/>
              <w:rPr/>
            </w:pPr>
            <w:r>
              <w:rPr/>
              <w:t>Rozšířená Technická podpora</w:t>
            </w:r>
          </w:p>
        </w:tc>
      </w:tr>
      <w:tr>
        <w:trPr/>
        <w:tc>
          <w:tcPr>
            <w:tcW w:w="4134" w:type="dxa"/>
            <w:tcBorders/>
          </w:tcPr>
          <w:p>
            <w:pPr>
              <w:pStyle w:val="RLSeznamploh"/>
              <w:widowControl w:val="false"/>
              <w:spacing w:before="0" w:after="120"/>
              <w:ind w:left="3572" w:hanging="1361"/>
              <w:rPr>
                <w:highlight w:val="yellow"/>
              </w:rPr>
            </w:pPr>
            <w:r>
              <w:rPr/>
              <w:t>Příloha č. 3:</w:t>
            </w:r>
          </w:p>
        </w:tc>
        <w:tc>
          <w:tcPr>
            <w:tcW w:w="5077" w:type="dxa"/>
            <w:tcBorders/>
          </w:tcPr>
          <w:p>
            <w:pPr>
              <w:pStyle w:val="Normal"/>
              <w:widowControl w:val="false"/>
              <w:spacing w:before="0" w:after="120"/>
              <w:rPr>
                <w:highlight w:val="yellow"/>
              </w:rPr>
            </w:pPr>
            <w:r>
              <w:rPr/>
              <w:t>Cena</w:t>
            </w:r>
          </w:p>
        </w:tc>
      </w:tr>
      <w:tr>
        <w:trPr/>
        <w:tc>
          <w:tcPr>
            <w:tcW w:w="4134" w:type="dxa"/>
            <w:tcBorders/>
          </w:tcPr>
          <w:p>
            <w:pPr>
              <w:pStyle w:val="RLSeznamploh"/>
              <w:widowControl w:val="false"/>
              <w:spacing w:before="0" w:after="120"/>
              <w:ind w:left="3572" w:hanging="1361"/>
              <w:rPr/>
            </w:pPr>
            <w:bookmarkStart w:id="25" w:name="ListAnnex07"/>
            <w:bookmarkStart w:id="26" w:name="ListAnnex06"/>
            <w:bookmarkStart w:id="27" w:name="ListAnnex05"/>
            <w:bookmarkEnd w:id="25"/>
            <w:bookmarkEnd w:id="26"/>
            <w:bookmarkEnd w:id="27"/>
            <w:r>
              <w:rPr/>
              <w:t>Příloha č. 4:</w:t>
            </w:r>
          </w:p>
        </w:tc>
        <w:tc>
          <w:tcPr>
            <w:tcW w:w="5077" w:type="dxa"/>
            <w:tcBorders/>
          </w:tcPr>
          <w:p>
            <w:pPr>
              <w:pStyle w:val="Normal"/>
              <w:widowControl w:val="false"/>
              <w:spacing w:before="0" w:after="120"/>
              <w:rPr/>
            </w:pPr>
            <w:r>
              <w:rPr/>
              <w:t>Dostupná rozhraní Software Poskytovatele</w:t>
            </w:r>
          </w:p>
        </w:tc>
      </w:tr>
      <w:tr>
        <w:trPr/>
        <w:tc>
          <w:tcPr>
            <w:tcW w:w="4134" w:type="dxa"/>
            <w:tcBorders/>
          </w:tcPr>
          <w:p>
            <w:pPr>
              <w:pStyle w:val="RLSeznamploh"/>
              <w:widowControl w:val="false"/>
              <w:spacing w:before="0" w:after="120"/>
              <w:ind w:left="3572" w:hanging="1361"/>
              <w:rPr/>
            </w:pPr>
            <w:r>
              <w:rPr/>
              <w:t>Příloha č. 5:</w:t>
            </w:r>
          </w:p>
        </w:tc>
        <w:tc>
          <w:tcPr>
            <w:tcW w:w="5077" w:type="dxa"/>
            <w:tcBorders/>
          </w:tcPr>
          <w:p>
            <w:pPr>
              <w:pStyle w:val="Normal"/>
              <w:widowControl w:val="false"/>
              <w:rPr/>
            </w:pPr>
            <w:r>
              <w:rPr/>
              <w:t>Obchodní podmínky</w:t>
            </w:r>
          </w:p>
          <w:p>
            <w:pPr>
              <w:pStyle w:val="Normal"/>
              <w:widowControl w:val="false"/>
              <w:spacing w:before="0" w:after="120"/>
              <w:rPr/>
            </w:pPr>
            <w:r>
              <w:rPr/>
            </w:r>
          </w:p>
        </w:tc>
      </w:tr>
    </w:tbl>
    <w:p>
      <w:pPr>
        <w:pStyle w:val="Normal"/>
        <w:jc w:val="center"/>
        <w:rPr>
          <w:b/>
          <w:b/>
        </w:rPr>
      </w:pPr>
      <w:r>
        <w:rPr>
          <w:b/>
        </w:rPr>
      </w:r>
    </w:p>
    <w:p>
      <w:pPr>
        <w:pStyle w:val="Normal"/>
        <w:spacing w:lineRule="auto" w:line="240" w:before="0" w:after="0"/>
        <w:rPr>
          <w:b/>
          <w:b/>
        </w:rPr>
      </w:pPr>
      <w:r>
        <w:rPr>
          <w:b/>
        </w:rPr>
      </w:r>
      <w:r>
        <w:br w:type="page"/>
      </w:r>
    </w:p>
    <w:p>
      <w:pPr>
        <w:pStyle w:val="Normal"/>
        <w:jc w:val="center"/>
        <w:rPr>
          <w:b/>
          <w:b/>
        </w:rPr>
      </w:pPr>
      <w:r>
        <w:rPr>
          <w:b/>
        </w:rPr>
        <w:t>Smluvní strany prohlašují, že si Smlouvu přečetly, seznámily se s jejími přílohami a s jejím obsahem souhlasí a na důkaz toho k ní připojují svoje podpisy.</w:t>
      </w:r>
    </w:p>
    <w:p>
      <w:pPr>
        <w:pStyle w:val="Normal"/>
        <w:rPr/>
      </w:pPr>
      <w:r>
        <w:rPr/>
      </w:r>
    </w:p>
    <w:tbl>
      <w:tblPr>
        <w:tblW w:w="9210" w:type="dxa"/>
        <w:jc w:val="center"/>
        <w:tblInd w:w="0" w:type="dxa"/>
        <w:tblLayout w:type="fixed"/>
        <w:tblCellMar>
          <w:top w:w="0" w:type="dxa"/>
          <w:left w:w="108" w:type="dxa"/>
          <w:bottom w:w="0" w:type="dxa"/>
          <w:right w:w="108" w:type="dxa"/>
        </w:tblCellMar>
        <w:tblLook w:firstRow="1" w:noVBand="0" w:lastRow="1" w:firstColumn="1" w:lastColumn="1" w:noHBand="0" w:val="01e0"/>
      </w:tblPr>
      <w:tblGrid>
        <w:gridCol w:w="4605"/>
        <w:gridCol w:w="4604"/>
      </w:tblGrid>
      <w:tr>
        <w:trPr/>
        <w:tc>
          <w:tcPr>
            <w:tcW w:w="4605" w:type="dxa"/>
            <w:tcBorders/>
          </w:tcPr>
          <w:p>
            <w:pPr>
              <w:pStyle w:val="RLProhlensmluvnchstran"/>
              <w:widowControl w:val="false"/>
              <w:rPr/>
            </w:pPr>
            <w:r>
              <w:rPr/>
              <w:t>Poskytovatel</w:t>
            </w:r>
          </w:p>
          <w:p>
            <w:pPr>
              <w:pStyle w:val="RLdajeosmluvnstran"/>
              <w:widowControl w:val="false"/>
              <w:rPr/>
            </w:pPr>
            <w:r>
              <w:rPr/>
            </w:r>
          </w:p>
          <w:p>
            <w:pPr>
              <w:pStyle w:val="RLdajeosmluvnstran"/>
              <w:widowControl w:val="false"/>
              <w:spacing w:before="840" w:after="120"/>
              <w:rPr/>
            </w:pPr>
            <w:r>
              <w:rPr/>
              <w:t>V Praze dne _____________</w:t>
            </w:r>
          </w:p>
          <w:p>
            <w:pPr>
              <w:pStyle w:val="Normal"/>
              <w:widowControl w:val="false"/>
              <w:spacing w:before="0" w:after="120"/>
              <w:rPr/>
            </w:pPr>
            <w:r>
              <w:rPr/>
            </w:r>
          </w:p>
        </w:tc>
        <w:tc>
          <w:tcPr>
            <w:tcW w:w="4604" w:type="dxa"/>
            <w:tcBorders/>
          </w:tcPr>
          <w:p>
            <w:pPr>
              <w:pStyle w:val="RLProhlensmluvnchstran"/>
              <w:widowControl w:val="false"/>
              <w:rPr/>
            </w:pPr>
            <w:r>
              <w:rPr/>
              <w:t>Nabyvatel</w:t>
            </w:r>
          </w:p>
          <w:p>
            <w:pPr>
              <w:pStyle w:val="RLdajeosmluvnstran"/>
              <w:widowControl w:val="false"/>
              <w:rPr/>
            </w:pPr>
            <w:r>
              <w:rPr/>
            </w:r>
          </w:p>
          <w:p>
            <w:pPr>
              <w:pStyle w:val="RLdajeosmluvnstran"/>
              <w:widowControl w:val="false"/>
              <w:spacing w:before="840" w:after="120"/>
              <w:rPr/>
            </w:pPr>
            <w:r>
              <w:rPr/>
              <w:t>V Českém Krumlově dne _____________</w:t>
            </w:r>
          </w:p>
        </w:tc>
      </w:tr>
      <w:tr>
        <w:trPr/>
        <w:tc>
          <w:tcPr>
            <w:tcW w:w="4605" w:type="dxa"/>
            <w:tcBorders/>
          </w:tcPr>
          <w:p>
            <w:pPr>
              <w:pStyle w:val="RLdajeosmluvnstran"/>
              <w:widowControl w:val="false"/>
              <w:spacing w:before="960" w:after="120"/>
              <w:rPr/>
            </w:pPr>
            <w:r>
              <w:rPr/>
              <w:t>.........................................................................</w:t>
            </w:r>
          </w:p>
          <w:p>
            <w:pPr>
              <w:pStyle w:val="RLProhlensmluvnchstran"/>
              <w:widowControl w:val="false"/>
              <w:rPr/>
            </w:pPr>
            <w:r>
              <w:rPr/>
              <w:t>VERA, spol. s r.o.</w:t>
            </w:r>
          </w:p>
          <w:p>
            <w:pPr>
              <w:pStyle w:val="RLdajeosmluvnstran"/>
              <w:widowControl w:val="false"/>
              <w:spacing w:before="0" w:after="120"/>
              <w:rPr/>
            </w:pPr>
            <w:r>
              <w:rPr/>
              <w:t>Ing. Jiří Matoušek, jednatel</w:t>
            </w:r>
          </w:p>
        </w:tc>
        <w:tc>
          <w:tcPr>
            <w:tcW w:w="4604" w:type="dxa"/>
            <w:tcBorders/>
          </w:tcPr>
          <w:p>
            <w:pPr>
              <w:pStyle w:val="RLdajeosmluvnstran"/>
              <w:widowControl w:val="false"/>
              <w:spacing w:before="960" w:after="120"/>
              <w:rPr/>
            </w:pPr>
            <w:r>
              <w:rPr/>
              <w:t>.........................................................................</w:t>
            </w:r>
          </w:p>
          <w:p>
            <w:pPr>
              <w:pStyle w:val="RLProhlensmluvnchstran"/>
              <w:widowControl w:val="false"/>
              <w:rPr/>
            </w:pPr>
            <w:r>
              <w:rPr/>
              <w:t>Město Český Krumlov</w:t>
            </w:r>
          </w:p>
          <w:p>
            <w:pPr>
              <w:pStyle w:val="RLdajeosmluvnstran"/>
              <w:widowControl w:val="false"/>
              <w:spacing w:before="0" w:after="120"/>
              <w:rPr/>
            </w:pPr>
            <w:r>
              <w:rPr/>
              <w:t>Mgr. Dalibor Carda, starosta</w:t>
            </w:r>
          </w:p>
        </w:tc>
      </w:tr>
    </w:tbl>
    <w:p>
      <w:pPr>
        <w:sectPr>
          <w:headerReference w:type="default" r:id="rId2"/>
          <w:footerReference w:type="default" r:id="rId3"/>
          <w:type w:val="nextPage"/>
          <w:pgSz w:w="11906" w:h="16838"/>
          <w:pgMar w:left="1276" w:right="1418" w:gutter="0" w:header="709" w:top="1418" w:footer="709" w:bottom="1418"/>
          <w:pgNumType w:start="1" w:fmt="decimal"/>
          <w:formProt w:val="false"/>
          <w:titlePg/>
          <w:textDirection w:val="lrTb"/>
          <w:docGrid w:type="default" w:linePitch="360" w:charSpace="0"/>
        </w:sectPr>
      </w:pPr>
    </w:p>
    <w:p>
      <w:pPr>
        <w:pStyle w:val="RLProhlensmluvnchstran"/>
        <w:rPr/>
      </w:pPr>
      <w:bookmarkStart w:id="28" w:name="Annex01"/>
      <w:r>
        <w:rPr/>
        <w:t>Příloha č. 1</w:t>
      </w:r>
      <w:bookmarkEnd w:id="28"/>
      <w:r>
        <w:rPr/>
        <w:t> </w:t>
      </w:r>
    </w:p>
    <w:p>
      <w:pPr>
        <w:pStyle w:val="RLProhlensmluvnchstran"/>
        <w:rPr/>
      </w:pPr>
      <w:r>
        <w:rPr/>
        <w:t>Technická specifikace</w:t>
      </w:r>
    </w:p>
    <w:p>
      <w:pPr>
        <w:pStyle w:val="Normal"/>
        <w:rPr>
          <w:b/>
          <w:b/>
          <w:szCs w:val="22"/>
        </w:rPr>
      </w:pPr>
      <w:r>
        <w:rPr>
          <w:b/>
          <w:szCs w:val="22"/>
        </w:rPr>
        <w:t>Agendy Software budou provozovány v pásmu 24 uživatelů.</w:t>
      </w:r>
    </w:p>
    <w:p>
      <w:pPr>
        <w:pStyle w:val="Normal"/>
        <w:rPr>
          <w:bCs/>
          <w:szCs w:val="22"/>
        </w:rPr>
      </w:pPr>
      <w:r>
        <w:rPr>
          <w:bCs/>
          <w:szCs w:val="22"/>
        </w:rPr>
        <w:t>(Pojem pásmo vyjadřuje maximální počet současně spuštěných klientských licencí.)</w:t>
      </w:r>
    </w:p>
    <w:tbl>
      <w:tblPr>
        <w:tblStyle w:val="Svtltabulkasmkou1zvraznn11"/>
        <w:tblW w:w="5807"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830"/>
        <w:gridCol w:w="976"/>
      </w:tblGrid>
      <w:tr>
        <w:trPr>
          <w:cnfStyle w:val="100000000000" w:firstRow="1" w:lastRow="0" w:firstColumn="0" w:lastColumn="0" w:oddVBand="0" w:evenVBand="0" w:oddHBand="0" w:evenHBand="0" w:firstRowFirstColumn="0" w:firstRowLastColumn="0" w:lastRowFirstColumn="0" w:lastRowLastColumn="0"/>
        </w:trPr>
        <w:tc>
          <w:tcPr>
            <w:tcW w:w="4830" w:type="dxa"/>
            <w:cnfStyle w:val="001000000000" w:firstRow="0" w:lastRow="0" w:firstColumn="1" w:lastColumn="0" w:oddVBand="0" w:evenVBand="0" w:oddHBand="0" w:evenHBand="0" w:firstRowFirstColumn="0" w:firstRowLastColumn="0" w:lastRowFirstColumn="0" w:lastRowLastColumn="0"/>
            <w:tcBorders>
              <w:bottom w:val="single" w:sz="12" w:space="0" w:color="95B3D7"/>
            </w:tcBorders>
          </w:tcPr>
          <w:p>
            <w:pPr>
              <w:pStyle w:val="Normal"/>
              <w:widowControl/>
              <w:spacing w:before="0" w:after="120"/>
              <w:jc w:val="left"/>
              <w:rPr>
                <w:rFonts w:eastAsia="Times New Roman" w:cs="Times New Roman"/>
                <w:b/>
                <w:b/>
                <w:bCs/>
                <w:kern w:val="0"/>
                <w:lang w:val="cs-CZ" w:eastAsia="cs-CZ" w:bidi="ar-SA"/>
              </w:rPr>
            </w:pPr>
            <w:r>
              <w:rPr>
                <w:rFonts w:eastAsia="Times New Roman" w:cs="Times New Roman"/>
                <w:b/>
                <w:bCs/>
                <w:kern w:val="0"/>
                <w:lang w:val="cs-CZ" w:eastAsia="cs-CZ" w:bidi="ar-SA"/>
              </w:rPr>
              <w:t xml:space="preserve">Označení agendy </w:t>
            </w:r>
          </w:p>
        </w:tc>
        <w:tc>
          <w:tcPr>
            <w:tcW w:w="976" w:type="dxa"/>
            <w:tcBorders>
              <w:bottom w:val="single" w:sz="12" w:space="0" w:color="95B3D7"/>
            </w:tcBorders>
          </w:tcPr>
          <w:p>
            <w:pPr>
              <w:pStyle w:val="Normal"/>
              <w:widowControl/>
              <w:spacing w:before="0" w:after="120"/>
              <w:jc w:val="left"/>
              <w:cnfStyle w:val="100000000000" w:firstRow="1" w:lastRow="0" w:firstColumn="0" w:lastColumn="0" w:oddVBand="0" w:evenVBand="0" w:oddHBand="0" w:evenHBand="0" w:firstRowFirstColumn="0" w:firstRowLastColumn="0" w:lastRowFirstColumn="0" w:lastRowLastColumn="0"/>
              <w:rPr>
                <w:rFonts w:eastAsia="Times New Roman" w:cs="Times New Roman"/>
                <w:b/>
                <w:b/>
                <w:bCs/>
                <w:kern w:val="0"/>
                <w:lang w:val="cs-CZ" w:eastAsia="cs-CZ" w:bidi="ar-SA"/>
              </w:rPr>
            </w:pPr>
            <w:r>
              <w:rPr>
                <w:rFonts w:eastAsia="Times New Roman" w:cs="Times New Roman"/>
                <w:b/>
                <w:bCs/>
                <w:kern w:val="0"/>
                <w:lang w:val="cs-CZ" w:eastAsia="cs-CZ" w:bidi="ar-SA"/>
              </w:rPr>
            </w:r>
          </w:p>
        </w:tc>
      </w:tr>
    </w:tbl>
    <w:tbl>
      <w:tblPr>
        <w:tblpPr w:vertAnchor="text" w:horzAnchor="text" w:leftFromText="141" w:rightFromText="141" w:tblpX="0" w:tblpY="1"/>
        <w:tblW w:w="5740" w:type="dxa"/>
        <w:jc w:val="left"/>
        <w:tblInd w:w="-5" w:type="dxa"/>
        <w:tblLayout w:type="fixed"/>
        <w:tblCellMar>
          <w:top w:w="0" w:type="dxa"/>
          <w:left w:w="70" w:type="dxa"/>
          <w:bottom w:w="0" w:type="dxa"/>
          <w:right w:w="70" w:type="dxa"/>
        </w:tblCellMar>
        <w:tblLook w:firstRow="1" w:noVBand="1" w:lastRow="0" w:firstColumn="1" w:lastColumn="0" w:noHBand="0" w:val="04a0"/>
      </w:tblPr>
      <w:tblGrid>
        <w:gridCol w:w="1149"/>
        <w:gridCol w:w="3631"/>
        <w:gridCol w:w="960"/>
      </w:tblGrid>
      <w:tr>
        <w:trPr>
          <w:trHeight w:val="290" w:hRule="atLeast"/>
        </w:trPr>
        <w:tc>
          <w:tcPr>
            <w:tcW w:w="114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RU</w:t>
            </w:r>
          </w:p>
        </w:tc>
        <w:tc>
          <w:tcPr>
            <w:tcW w:w="3631"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Aktualizace ze Základních registrů</w:t>
            </w:r>
          </w:p>
        </w:tc>
        <w:tc>
          <w:tcPr>
            <w:tcW w:w="960"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KB</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Banka</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PS</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Evidence psů</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KE</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Export do účetnictví</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PF</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Fakturace</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QR-H</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Hlášení DPH</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JS</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Jednotná organizační struktura</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JSM</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JOSoptIM</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PJ</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Komunální odpad</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VF</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Konverze parcel</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MM</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Majetek</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MM-O</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Majetek-Odpisy</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RM</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Matrika JAVA</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RU-B</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Nahrávač obyvatel</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VL</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Organizace voleb</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KP</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Pokladna</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DWR</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Portál občana - klikací rozpočet</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VE</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Programový manažer</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KM</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Pronájem nemovitého majetku</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PD</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Příjmy</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VR</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Registry</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RINP</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Rozhraní - Nespolehliví plátci</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RIPD</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Rozhraní – Příjmy</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RIVR</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Rozhraní - Registry</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RD</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Rozhraní EPO</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RIGI</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Rozhraní GIS</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RR</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Rozhraní ISIR</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QT</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Tvorba rozpočtu</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QR</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Účetnictví</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RIZR</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VERAeGON Client-ESIR</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SG</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VeraSigner</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RV</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Vidimace a legalizace JAVA</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ML</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Volební agenda</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PV</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Výdaje</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QV</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Výkazy</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PL</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Vymáhání pohledávek</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RU-Z</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Změny obyvatel z ROB a AISEO</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GR</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Finanční přehledy</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KP-K</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Platební karty</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PV-E</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Výdaje eProcesy</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top w:val="single" w:sz="4" w:space="0" w:color="000000"/>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VR-I</w:t>
            </w:r>
          </w:p>
        </w:tc>
        <w:tc>
          <w:tcPr>
            <w:tcW w:w="3631" w:type="dxa"/>
            <w:tcBorders>
              <w:top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AISEO a AISC Viewer</w:t>
            </w:r>
          </w:p>
        </w:tc>
        <w:tc>
          <w:tcPr>
            <w:tcW w:w="960" w:type="dxa"/>
            <w:tcBorders>
              <w:top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top w:val="single" w:sz="4" w:space="0" w:color="000000"/>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ME</w:t>
            </w:r>
          </w:p>
        </w:tc>
        <w:tc>
          <w:tcPr>
            <w:tcW w:w="3631" w:type="dxa"/>
            <w:tcBorders>
              <w:top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eProcesy - Centrum</w:t>
            </w:r>
          </w:p>
        </w:tc>
        <w:tc>
          <w:tcPr>
            <w:tcW w:w="960" w:type="dxa"/>
            <w:tcBorders>
              <w:top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RE2E</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AIS VERA - SSL (NS)</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QT-Z</w:t>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Závazné ukazatele</w:t>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 xml:space="preserve">KS </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Smlouvy</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FFFFFF" w:themeFill="background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KD</w:t>
            </w:r>
          </w:p>
        </w:tc>
        <w:tc>
          <w:tcPr>
            <w:tcW w:w="3631" w:type="dxa"/>
            <w:tcBorders>
              <w:bottom w:val="single" w:sz="4" w:space="0" w:color="000000"/>
              <w:right w:val="single" w:sz="4" w:space="0" w:color="000000"/>
            </w:tcBorders>
            <w:shd w:color="auto" w:fill="FFFFFF" w:themeFill="background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Objednávky</w:t>
            </w:r>
          </w:p>
        </w:tc>
        <w:tc>
          <w:tcPr>
            <w:tcW w:w="960" w:type="dxa"/>
            <w:tcBorders>
              <w:bottom w:val="single" w:sz="4" w:space="0" w:color="000000"/>
              <w:right w:val="single" w:sz="4" w:space="0" w:color="000000"/>
            </w:tcBorders>
            <w:shd w:color="auto" w:fill="FFFFFF" w:themeFill="background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KS-C</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Smlouvy – Centrální registr smluv</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KS-S</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Věcné ověření smluv</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FFFFFF" w:themeFill="background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KS-E</w:t>
            </w:r>
          </w:p>
        </w:tc>
        <w:tc>
          <w:tcPr>
            <w:tcW w:w="3631" w:type="dxa"/>
            <w:tcBorders>
              <w:bottom w:val="single" w:sz="4" w:space="0" w:color="000000"/>
              <w:right w:val="single" w:sz="4" w:space="0" w:color="000000"/>
            </w:tcBorders>
            <w:shd w:color="auto" w:fill="FFFFFF" w:themeFill="background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Smlouvy eProcesy</w:t>
            </w:r>
          </w:p>
        </w:tc>
        <w:tc>
          <w:tcPr>
            <w:tcW w:w="960" w:type="dxa"/>
            <w:tcBorders>
              <w:bottom w:val="single" w:sz="4" w:space="0" w:color="000000"/>
              <w:right w:val="single" w:sz="4" w:space="0" w:color="000000"/>
            </w:tcBorders>
            <w:shd w:color="auto" w:fill="FFFFFF" w:themeFill="background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KD-E</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Objednávky eProcesy</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PF-E</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Fakturace eProcesy</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FFFFFF" w:themeFill="background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KP-E</w:t>
            </w:r>
          </w:p>
        </w:tc>
        <w:tc>
          <w:tcPr>
            <w:tcW w:w="3631" w:type="dxa"/>
            <w:tcBorders>
              <w:bottom w:val="single" w:sz="4" w:space="0" w:color="000000"/>
              <w:right w:val="single" w:sz="4" w:space="0" w:color="000000"/>
            </w:tcBorders>
            <w:shd w:color="auto" w:fill="FFFFFF" w:themeFill="background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Pokladní poukazy e Procesy</w:t>
            </w:r>
          </w:p>
        </w:tc>
        <w:tc>
          <w:tcPr>
            <w:tcW w:w="960" w:type="dxa"/>
            <w:tcBorders>
              <w:bottom w:val="single" w:sz="4" w:space="0" w:color="000000"/>
              <w:right w:val="single" w:sz="4" w:space="0" w:color="000000"/>
            </w:tcBorders>
            <w:shd w:color="auto" w:fill="FFFFFF" w:themeFill="background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VAS</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Vera Aplikační Server</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FFFFFF" w:themeFill="background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EK</w:t>
            </w:r>
          </w:p>
        </w:tc>
        <w:tc>
          <w:tcPr>
            <w:tcW w:w="3631" w:type="dxa"/>
            <w:tcBorders>
              <w:bottom w:val="single" w:sz="4" w:space="0" w:color="000000"/>
              <w:right w:val="single" w:sz="4" w:space="0" w:color="000000"/>
            </w:tcBorders>
            <w:shd w:color="auto" w:fill="FFFFFF" w:themeFill="background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Podpisová kniha</w:t>
            </w:r>
          </w:p>
        </w:tc>
        <w:tc>
          <w:tcPr>
            <w:tcW w:w="960" w:type="dxa"/>
            <w:tcBorders>
              <w:bottom w:val="single" w:sz="4" w:space="0" w:color="000000"/>
              <w:right w:val="single" w:sz="4" w:space="0" w:color="000000"/>
            </w:tcBorders>
            <w:shd w:color="auto" w:fill="FFFFFF" w:themeFill="background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RE2I</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AIS VERA – SSL ICZ</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R</w:t>
            </w:r>
          </w:p>
        </w:tc>
      </w:tr>
      <w:tr>
        <w:trPr>
          <w:trHeight w:val="290" w:hRule="atLeast"/>
        </w:trPr>
        <w:tc>
          <w:tcPr>
            <w:tcW w:w="11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r>
          </w:p>
        </w:tc>
        <w:tc>
          <w:tcPr>
            <w:tcW w:w="3631"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r>
          </w:p>
        </w:tc>
        <w:tc>
          <w:tcPr>
            <w:tcW w:w="960"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WES</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VERAeGON-Viewer</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C</w:t>
            </w:r>
          </w:p>
        </w:tc>
      </w:tr>
      <w:tr>
        <w:trPr>
          <w:trHeight w:val="290" w:hRule="atLeast"/>
        </w:trPr>
        <w:tc>
          <w:tcPr>
            <w:tcW w:w="5740" w:type="dxa"/>
            <w:gridSpan w:val="3"/>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Technologické licence*)</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KS</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Smlouvy</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T</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RC</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Rozhraní CSÚIS</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T</w:t>
            </w:r>
          </w:p>
        </w:tc>
      </w:tr>
      <w:tr>
        <w:trPr>
          <w:trHeight w:val="290" w:hRule="atLeast"/>
        </w:trPr>
        <w:tc>
          <w:tcPr>
            <w:tcW w:w="1149" w:type="dxa"/>
            <w:tcBorders>
              <w:left w:val="single" w:sz="4" w:space="0" w:color="000000"/>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QT-R</w:t>
            </w:r>
          </w:p>
        </w:tc>
        <w:tc>
          <w:tcPr>
            <w:tcW w:w="3631"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Datová pumpa - Klikací rozpočet</w:t>
            </w:r>
          </w:p>
        </w:tc>
        <w:tc>
          <w:tcPr>
            <w:tcW w:w="960" w:type="dxa"/>
            <w:tcBorders>
              <w:bottom w:val="single" w:sz="4" w:space="0" w:color="000000"/>
              <w:right w:val="single" w:sz="4" w:space="0" w:color="000000"/>
            </w:tcBorders>
            <w:shd w:color="000000" w:fill="DCE6F1" w:val="clear"/>
            <w:vAlign w:val="center"/>
          </w:tcPr>
          <w:p>
            <w:pPr>
              <w:pStyle w:val="Normal"/>
              <w:widowControl w:val="false"/>
              <w:spacing w:lineRule="auto" w:line="240" w:before="0" w:after="0"/>
              <w:rPr>
                <w:rFonts w:cs="Calibri"/>
                <w:color w:val="000000"/>
                <w:szCs w:val="22"/>
              </w:rPr>
            </w:pPr>
            <w:r>
              <w:rPr>
                <w:rFonts w:cs="Calibri"/>
                <w:color w:val="000000"/>
                <w:szCs w:val="22"/>
              </w:rPr>
              <w:t>T</w:t>
            </w:r>
          </w:p>
        </w:tc>
      </w:tr>
    </w:tbl>
    <w:p>
      <w:pPr>
        <w:pStyle w:val="ListParagraph"/>
        <w:spacing w:before="120" w:after="120"/>
        <w:ind w:left="284" w:hanging="284"/>
        <w:contextualSpacing/>
        <w:jc w:val="both"/>
        <w:rPr>
          <w:rFonts w:ascii="Arial" w:hAnsi="Arial" w:cs="Arial"/>
          <w:color w:val="000000"/>
          <w:sz w:val="18"/>
          <w:szCs w:val="18"/>
        </w:rPr>
      </w:pPr>
      <w:r/>
      <w:r>
        <w:rPr>
          <w:rFonts w:cs="Arial" w:ascii="Arial" w:hAnsi="Arial"/>
          <w:color w:val="000000"/>
          <w:sz w:val="18"/>
          <w:szCs w:val="18"/>
        </w:rPr>
        <w:br/>
        <w:t>R = rutinní licence, C = číselníková licence, T = technologická licence</w:t>
      </w:r>
    </w:p>
    <w:p>
      <w:pPr>
        <w:pStyle w:val="ListParagraph"/>
        <w:spacing w:before="120" w:after="120"/>
        <w:ind w:left="284" w:hanging="284"/>
        <w:contextualSpacing/>
        <w:jc w:val="both"/>
        <w:rPr>
          <w:rFonts w:ascii="Arial" w:hAnsi="Arial" w:cs="Arial"/>
          <w:color w:val="000000"/>
          <w:sz w:val="18"/>
          <w:szCs w:val="18"/>
        </w:rPr>
      </w:pPr>
      <w:r>
        <w:rPr>
          <w:rFonts w:cs="Arial" w:ascii="Arial" w:hAnsi="Arial"/>
          <w:color w:val="000000"/>
          <w:sz w:val="18"/>
          <w:szCs w:val="18"/>
        </w:rPr>
      </w:r>
    </w:p>
    <w:p>
      <w:pPr>
        <w:pStyle w:val="ListParagraph"/>
        <w:spacing w:before="120" w:after="120"/>
        <w:ind w:left="284" w:hanging="284"/>
        <w:contextualSpacing/>
        <w:jc w:val="both"/>
        <w:rPr>
          <w:rFonts w:ascii="Arial" w:hAnsi="Arial" w:cs="Arial"/>
          <w:color w:val="000000"/>
          <w:sz w:val="18"/>
          <w:szCs w:val="18"/>
        </w:rPr>
      </w:pPr>
      <w:r>
        <w:rPr>
          <w:rFonts w:cs="Arial" w:ascii="Arial" w:hAnsi="Arial"/>
          <w:color w:val="000000"/>
          <w:sz w:val="18"/>
          <w:szCs w:val="18"/>
        </w:rPr>
        <w:t>*)</w:t>
        <w:tab/>
        <w:t>Technologické licence („T“) jsou doplňující Licence nutné k provozování konkrétní agendy Programového vybavení VERA Radnice.</w:t>
      </w:r>
    </w:p>
    <w:p>
      <w:pPr>
        <w:pStyle w:val="ListParagraph"/>
        <w:spacing w:before="120" w:after="120"/>
        <w:ind w:left="284" w:hanging="0"/>
        <w:contextualSpacing/>
        <w:jc w:val="both"/>
        <w:rPr>
          <w:rFonts w:ascii="Times New Roman" w:hAnsi="Times New Roman"/>
          <w:sz w:val="18"/>
          <w:szCs w:val="18"/>
        </w:rPr>
      </w:pPr>
      <w:r>
        <w:rPr>
          <w:rFonts w:cs="Arial" w:ascii="Arial" w:hAnsi="Arial"/>
          <w:color w:val="000000"/>
          <w:sz w:val="18"/>
          <w:szCs w:val="18"/>
        </w:rPr>
        <w:t>Poskytovatel si vyhrazuje právo kdykoli ověřit způsob využívání těchto technologických licencí („T“) a Nabyvatel se zavazuje Poskytovateli v tomto poskytnout součinnost. Poskytovatel má právo technologické licence („T“) ukončit či odejmout bez náhrady, pokud tím nedojde k narušení funkčnosti ostatních částí Software, zejména funkčnost placených agend (rutinní licence „R“). Důvodem může být využívání technologických licencí v rozporu se Smlouvou, nebo provoz těchto licencí ve spojení s agendami, k jejichž provozu již nejsou technologicky nutné. Ukončení či odejmutí technologických licencí se děje bez nároku na náhradu. V případě požadavku na využití technologických licencí pro jiné účely Nabyvatele, je třeba tento status smluvně potvrdit a dle obchodních podmínek Poskytovatele dokoupit Licence včetně technické podpory.</w:t>
      </w:r>
    </w:p>
    <w:p>
      <w:pPr>
        <w:pStyle w:val="Normal"/>
        <w:spacing w:lineRule="auto" w:line="240" w:before="0" w:after="0"/>
        <w:rPr>
          <w:b/>
          <w:b/>
          <w:sz w:val="24"/>
          <w:lang w:eastAsia="en-US"/>
        </w:rPr>
      </w:pPr>
      <w:r>
        <w:rPr>
          <w:b/>
          <w:sz w:val="24"/>
          <w:lang w:eastAsia="en-US"/>
        </w:rPr>
      </w:r>
      <w:r>
        <w:br w:type="page"/>
      </w:r>
    </w:p>
    <w:p>
      <w:pPr>
        <w:pStyle w:val="Normal"/>
        <w:rPr>
          <w:b/>
          <w:b/>
          <w:sz w:val="24"/>
          <w:lang w:eastAsia="en-US"/>
        </w:rPr>
      </w:pPr>
      <w:r>
        <w:rPr>
          <w:b/>
          <w:sz w:val="24"/>
          <w:lang w:eastAsia="en-US"/>
        </w:rPr>
      </w:r>
    </w:p>
    <w:p>
      <w:pPr>
        <w:pStyle w:val="Normal"/>
        <w:rPr>
          <w:b/>
          <w:b/>
          <w:sz w:val="24"/>
          <w:lang w:eastAsia="en-US"/>
        </w:rPr>
      </w:pPr>
      <w:bookmarkStart w:id="29" w:name="Annex02"/>
      <w:bookmarkEnd w:id="29"/>
      <w:r>
        <w:rPr>
          <w:b/>
          <w:sz w:val="24"/>
          <w:lang w:eastAsia="en-US"/>
        </w:rPr>
        <w:t>Podporovaná architektura (dále také „Portlist“)</w:t>
      </w:r>
    </w:p>
    <w:p>
      <w:pPr>
        <w:pStyle w:val="Normal"/>
        <w:rPr>
          <w:rStyle w:val="TextTun"/>
          <w:b w:val="false"/>
          <w:b w:val="false"/>
          <w:bCs w:val="false"/>
        </w:rPr>
      </w:pPr>
      <w:r>
        <w:rPr/>
        <w:t>Při plánované aktualizaci prosím sledujte u výrobců databázových strojů a jednotlivých komponent i dostupnost pro zvolený operační systém. Každý databázový stroj má specifikovány SW podmínky pro svůj běh. Níže uvedený portlist je společný pro Informační systém VERA Radnice</w:t>
      </w:r>
      <w:r>
        <w:rPr>
          <w:vertAlign w:val="superscript"/>
        </w:rPr>
        <w:t xml:space="preserve"> </w:t>
      </w:r>
      <w:r>
        <w:rPr/>
        <w:t>- prostředí Genero, Java i Webové aplikace.</w:t>
      </w:r>
    </w:p>
    <w:p>
      <w:pPr>
        <w:pStyle w:val="Normal"/>
        <w:rPr>
          <w:rStyle w:val="TextTun"/>
        </w:rPr>
      </w:pPr>
      <w:r>
        <w:rPr>
          <w:rStyle w:val="TextTun"/>
        </w:rPr>
        <w:t>Uvedený portlist je platný pro VERA Radnice v. 20</w:t>
      </w:r>
    </w:p>
    <w:p>
      <w:pPr>
        <w:pStyle w:val="Nadpis2"/>
        <w:rPr/>
      </w:pPr>
      <w:bookmarkStart w:id="30" w:name="_Toc99713448"/>
      <w:bookmarkStart w:id="31" w:name="_Toc469388616"/>
      <w:bookmarkStart w:id="32" w:name="_Toc468368070"/>
      <w:bookmarkStart w:id="33" w:name="_Toc316640983"/>
      <w:r>
        <w:rPr/>
        <w:t>Portlist VERA Radnice - serverová část</w:t>
      </w:r>
      <w:bookmarkEnd w:id="33"/>
      <w:r>
        <w:rPr/>
        <w:t>, pouze 64bit</w:t>
      </w:r>
      <w:bookmarkEnd w:id="30"/>
      <w:bookmarkEnd w:id="31"/>
      <w:bookmarkEnd w:id="32"/>
    </w:p>
    <w:tbl>
      <w:tblPr>
        <w:tblStyle w:val="Mkatabulky"/>
        <w:tblW w:w="9060" w:type="dxa"/>
        <w:jc w:val="left"/>
        <w:tblInd w:w="0" w:type="dxa"/>
        <w:tblLayout w:type="fixed"/>
        <w:tblCellMar>
          <w:top w:w="0" w:type="dxa"/>
          <w:left w:w="108" w:type="dxa"/>
          <w:bottom w:w="0" w:type="dxa"/>
          <w:right w:w="108" w:type="dxa"/>
        </w:tblCellMar>
        <w:tblLook w:firstRow="1" w:noVBand="1" w:lastRow="0" w:firstColumn="0" w:lastColumn="0" w:noHBand="1" w:val="0620"/>
      </w:tblPr>
      <w:tblGrid>
        <w:gridCol w:w="4531"/>
        <w:gridCol w:w="4528"/>
      </w:tblGrid>
      <w:tr>
        <w:trPr/>
        <w:tc>
          <w:tcPr>
            <w:tcW w:w="9059" w:type="dxa"/>
            <w:gridSpan w:val="2"/>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VERA Radnice, serverová část</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31" w:type="dxa"/>
            <w:vMerge w:val="restart"/>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Operační systém</w:t>
            </w:r>
          </w:p>
        </w:tc>
        <w:tc>
          <w:tcPr>
            <w:tcW w:w="4528"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Microsoft Windows Server 2019, 2016, 2012</w:t>
            </w:r>
          </w:p>
        </w:tc>
      </w:tr>
      <w:tr>
        <w:trPr/>
        <w:tc>
          <w:tcPr>
            <w:tcW w:w="4531" w:type="dxa"/>
            <w:vMerge w:val="continue"/>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c>
          <w:tcPr>
            <w:tcW w:w="4528"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Red Hat Enterprise Linux 8, 7</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31" w:type="dxa"/>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t>Databázová prostředí, komerční</w:t>
            </w:r>
          </w:p>
        </w:tc>
        <w:tc>
          <w:tcPr>
            <w:tcW w:w="4528"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 xml:space="preserve">Oracle Databáze 21c, 19c, 18c, 12.2c </w:t>
            </w:r>
          </w:p>
        </w:tc>
      </w:tr>
      <w:tr>
        <w:trPr/>
        <w:tc>
          <w:tcPr>
            <w:tcW w:w="4531" w:type="dxa"/>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c>
          <w:tcPr>
            <w:tcW w:w="4528"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Microsoft SQL Server 2019, 2017, 2016, 2014</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31" w:type="dxa"/>
            <w:vMerge w:val="restart"/>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 xml:space="preserve">Volné edice komerčních databázových prostředí </w:t>
            </w:r>
            <w:r>
              <w:rPr>
                <w:rStyle w:val="Ukotvenpoznmkypodarou"/>
                <w:rFonts w:eastAsia="Times New Roman" w:cs="Times New Roman"/>
                <w:kern w:val="0"/>
                <w:lang w:val="cs-CZ" w:eastAsia="cs-CZ" w:bidi="ar-SA"/>
              </w:rPr>
              <w:footnoteReference w:id="2"/>
            </w:r>
          </w:p>
        </w:tc>
        <w:tc>
          <w:tcPr>
            <w:tcW w:w="4528"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Microsoft SQL Server Express</w:t>
            </w:r>
          </w:p>
        </w:tc>
      </w:tr>
      <w:tr>
        <w:trPr/>
        <w:tc>
          <w:tcPr>
            <w:tcW w:w="4531" w:type="dxa"/>
            <w:vMerge w:val="continue"/>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r>
          </w:p>
        </w:tc>
        <w:tc>
          <w:tcPr>
            <w:tcW w:w="4528"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Oracle Database Express Edition</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31"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Nekomerční databázová prostředí</w:t>
            </w:r>
          </w:p>
        </w:tc>
        <w:tc>
          <w:tcPr>
            <w:tcW w:w="4528" w:type="dxa"/>
            <w:tcBorders/>
          </w:tcPr>
          <w:p>
            <w:pPr>
              <w:pStyle w:val="Normal"/>
              <w:widowControl/>
              <w:spacing w:before="0" w:after="120"/>
              <w:jc w:val="left"/>
              <w:rPr>
                <w:lang w:val="en-US"/>
              </w:rPr>
            </w:pPr>
            <w:r>
              <w:rPr>
                <w:rFonts w:eastAsia="Times New Roman" w:cs="Times New Roman"/>
                <w:kern w:val="0"/>
                <w:lang w:val="cs-CZ" w:eastAsia="cs-CZ" w:bidi="ar-SA"/>
              </w:rPr>
              <w:t>PostgreSQL 12</w:t>
            </w:r>
            <w:r>
              <w:rPr>
                <w:rStyle w:val="Ukotvenpoznmkypodarou"/>
                <w:rFonts w:eastAsia="Times New Roman" w:cs="Times New Roman"/>
                <w:kern w:val="0"/>
                <w:lang w:val="cs-CZ" w:eastAsia="cs-CZ" w:bidi="ar-SA"/>
              </w:rPr>
              <w:footnoteReference w:id="3"/>
            </w:r>
            <w:r>
              <w:rPr>
                <w:rFonts w:eastAsia="Times New Roman" w:cs="Times New Roman"/>
                <w:kern w:val="0"/>
                <w:lang w:val="cs-CZ" w:eastAsia="cs-CZ" w:bidi="ar-SA"/>
              </w:rPr>
              <w:t>, výhledově v. 14</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31"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Spouštěcí a ověřovací služby</w:t>
            </w:r>
          </w:p>
        </w:tc>
        <w:tc>
          <w:tcPr>
            <w:tcW w:w="4528"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Genero Application Server v. 3.20.x</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31"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Prostředí Java</w:t>
            </w:r>
          </w:p>
        </w:tc>
        <w:tc>
          <w:tcPr>
            <w:tcW w:w="4528" w:type="dxa"/>
            <w:tcBorders/>
          </w:tcPr>
          <w:p>
            <w:pPr>
              <w:pStyle w:val="Normal"/>
              <w:widowControl/>
              <w:spacing w:before="0" w:after="120"/>
              <w:jc w:val="left"/>
              <w:rPr>
                <w:lang w:val="en-US"/>
              </w:rPr>
            </w:pPr>
            <w:r>
              <w:rPr>
                <w:rFonts w:eastAsia="Times New Roman" w:cs="Times New Roman"/>
                <w:kern w:val="0"/>
                <w:lang w:val="cs-CZ" w:eastAsia="cs-CZ" w:bidi="ar-SA"/>
              </w:rPr>
              <w:t>OpenJDK 17</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31"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Java servlet container</w:t>
            </w:r>
          </w:p>
        </w:tc>
        <w:tc>
          <w:tcPr>
            <w:tcW w:w="4528"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Apache Tomcat 10.x</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31" w:type="dxa"/>
            <w:vMerge w:val="restart"/>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Webový server</w:t>
            </w:r>
          </w:p>
        </w:tc>
        <w:tc>
          <w:tcPr>
            <w:tcW w:w="4528"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Apache HTTP Server 2.4.x</w:t>
            </w:r>
          </w:p>
        </w:tc>
      </w:tr>
      <w:tr>
        <w:trPr/>
        <w:tc>
          <w:tcPr>
            <w:tcW w:w="4531" w:type="dxa"/>
            <w:vMerge w:val="continue"/>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c>
          <w:tcPr>
            <w:tcW w:w="4528"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Microsoft Internet Information Services (IIS)</w:t>
            </w:r>
          </w:p>
        </w:tc>
      </w:tr>
    </w:tbl>
    <w:p>
      <w:pPr>
        <w:pStyle w:val="Normal"/>
        <w:rPr/>
      </w:pPr>
      <w:r>
        <w:rPr/>
      </w:r>
    </w:p>
    <w:p>
      <w:pPr>
        <w:pStyle w:val="Normal"/>
        <w:rPr/>
      </w:pPr>
      <w:r>
        <w:rPr/>
      </w:r>
      <w:r>
        <w:br w:type="page"/>
      </w:r>
    </w:p>
    <w:p>
      <w:pPr>
        <w:pStyle w:val="Nadpis2"/>
        <w:rPr/>
      </w:pPr>
      <w:bookmarkStart w:id="34" w:name="_Toc99713449"/>
      <w:r>
        <w:rPr/>
        <w:t>Portlist VERA Radnice - klientská část</w:t>
      </w:r>
      <w:bookmarkEnd w:id="34"/>
    </w:p>
    <w:tbl>
      <w:tblPr>
        <w:tblStyle w:val="Mkatabulky"/>
        <w:tblW w:w="9060" w:type="dxa"/>
        <w:jc w:val="left"/>
        <w:tblInd w:w="0" w:type="dxa"/>
        <w:tblLayout w:type="fixed"/>
        <w:tblCellMar>
          <w:top w:w="0" w:type="dxa"/>
          <w:left w:w="108" w:type="dxa"/>
          <w:bottom w:w="0" w:type="dxa"/>
          <w:right w:w="108" w:type="dxa"/>
        </w:tblCellMar>
        <w:tblLook w:firstRow="1" w:noVBand="1" w:lastRow="0" w:firstColumn="0" w:lastColumn="0" w:noHBand="1" w:val="0620"/>
      </w:tblPr>
      <w:tblGrid>
        <w:gridCol w:w="4530"/>
        <w:gridCol w:w="4529"/>
      </w:tblGrid>
      <w:tr>
        <w:trPr/>
        <w:tc>
          <w:tcPr>
            <w:tcW w:w="9059" w:type="dxa"/>
            <w:gridSpan w:val="2"/>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VERA Radnice, klientská část</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30"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Operační systém</w:t>
            </w:r>
          </w:p>
        </w:tc>
        <w:tc>
          <w:tcPr>
            <w:tcW w:w="452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Microsoft Windows 11, 10, Windows 8.1 - poslední stabilní verze</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30"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Grafické uživatelské prostředí</w:t>
            </w:r>
          </w:p>
        </w:tc>
        <w:tc>
          <w:tcPr>
            <w:tcW w:w="452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Genero Desktop Client 3.20.20 a vyšší</w:t>
            </w:r>
          </w:p>
        </w:tc>
      </w:tr>
      <w:tr>
        <w:trPr/>
        <w:tc>
          <w:tcPr>
            <w:tcW w:w="9059" w:type="dxa"/>
            <w:gridSpan w:val="2"/>
            <w:tcBorders>
              <w:left w:val="nil"/>
              <w:right w:val="nil"/>
            </w:tcBorders>
          </w:tcPr>
          <w:p>
            <w:pPr>
              <w:pStyle w:val="Normal"/>
              <w:widowControl/>
              <w:spacing w:lineRule="auto" w:line="276" w:before="0" w:after="120"/>
              <w:jc w:val="left"/>
              <w:rPr>
                <w:bCs/>
              </w:rPr>
            </w:pPr>
            <w:r>
              <w:rPr>
                <w:rFonts w:eastAsia="Times New Roman" w:cs="Times New Roman"/>
                <w:bCs/>
                <w:kern w:val="0"/>
                <w:lang w:val="cs-CZ" w:eastAsia="cs-CZ" w:bidi="ar-SA"/>
              </w:rPr>
            </w:r>
          </w:p>
        </w:tc>
      </w:tr>
      <w:tr>
        <w:trPr/>
        <w:tc>
          <w:tcPr>
            <w:tcW w:w="4530"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Prostředí Java</w:t>
            </w:r>
          </w:p>
        </w:tc>
        <w:tc>
          <w:tcPr>
            <w:tcW w:w="452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OpenJDK 17</w:t>
            </w:r>
          </w:p>
        </w:tc>
      </w:tr>
      <w:tr>
        <w:trPr/>
        <w:tc>
          <w:tcPr>
            <w:tcW w:w="9059" w:type="dxa"/>
            <w:gridSpan w:val="2"/>
            <w:tcBorders>
              <w:left w:val="nil"/>
              <w:right w:val="nil"/>
            </w:tcBorders>
          </w:tcPr>
          <w:p>
            <w:pPr>
              <w:pStyle w:val="Normal"/>
              <w:widowControl/>
              <w:spacing w:lineRule="auto" w:line="276" w:before="0" w:after="120"/>
              <w:jc w:val="left"/>
              <w:rPr>
                <w:bCs/>
              </w:rPr>
            </w:pPr>
            <w:r>
              <w:rPr>
                <w:rFonts w:eastAsia="Times New Roman" w:cs="Times New Roman"/>
                <w:bCs/>
                <w:kern w:val="0"/>
                <w:lang w:val="cs-CZ" w:eastAsia="cs-CZ" w:bidi="ar-SA"/>
              </w:rPr>
            </w:r>
          </w:p>
        </w:tc>
      </w:tr>
      <w:tr>
        <w:trPr/>
        <w:tc>
          <w:tcPr>
            <w:tcW w:w="4530"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Microsoft .NET Framework</w:t>
            </w:r>
          </w:p>
        </w:tc>
        <w:tc>
          <w:tcPr>
            <w:tcW w:w="452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Verze 4.5.2 a vyšší</w:t>
            </w:r>
          </w:p>
        </w:tc>
      </w:tr>
      <w:tr>
        <w:trPr/>
        <w:tc>
          <w:tcPr>
            <w:tcW w:w="9059" w:type="dxa"/>
            <w:gridSpan w:val="2"/>
            <w:tcBorders>
              <w:left w:val="nil"/>
              <w:right w:val="nil"/>
            </w:tcBorders>
          </w:tcPr>
          <w:p>
            <w:pPr>
              <w:pStyle w:val="Normal"/>
              <w:widowControl/>
              <w:spacing w:lineRule="auto" w:line="276" w:before="0" w:after="120"/>
              <w:jc w:val="left"/>
              <w:rPr>
                <w:bCs/>
              </w:rPr>
            </w:pPr>
            <w:r>
              <w:rPr>
                <w:rFonts w:eastAsia="Times New Roman" w:cs="Times New Roman"/>
                <w:bCs/>
                <w:kern w:val="0"/>
                <w:lang w:val="cs-CZ" w:eastAsia="cs-CZ" w:bidi="ar-SA"/>
              </w:rPr>
            </w:r>
          </w:p>
        </w:tc>
      </w:tr>
      <w:tr>
        <w:trPr/>
        <w:tc>
          <w:tcPr>
            <w:tcW w:w="4530"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Převod do PDF formátu</w:t>
            </w:r>
          </w:p>
        </w:tc>
        <w:tc>
          <w:tcPr>
            <w:tcW w:w="452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MS Office 2016 – 2021, PDF Creator 1.7.3</w:t>
            </w:r>
          </w:p>
        </w:tc>
      </w:tr>
      <w:tr>
        <w:trPr/>
        <w:tc>
          <w:tcPr>
            <w:tcW w:w="9059" w:type="dxa"/>
            <w:gridSpan w:val="2"/>
            <w:tcBorders>
              <w:left w:val="nil"/>
              <w:right w:val="nil"/>
            </w:tcBorders>
          </w:tcPr>
          <w:p>
            <w:pPr>
              <w:pStyle w:val="Normal"/>
              <w:widowControl/>
              <w:spacing w:lineRule="auto" w:line="276" w:before="0" w:after="120"/>
              <w:jc w:val="left"/>
              <w:rPr>
                <w:bCs/>
              </w:rPr>
            </w:pPr>
            <w:r>
              <w:rPr>
                <w:rFonts w:eastAsia="Times New Roman" w:cs="Times New Roman"/>
                <w:bCs/>
                <w:kern w:val="0"/>
                <w:lang w:val="cs-CZ" w:eastAsia="cs-CZ" w:bidi="ar-SA"/>
              </w:rPr>
            </w:r>
          </w:p>
        </w:tc>
      </w:tr>
      <w:tr>
        <w:trPr/>
        <w:tc>
          <w:tcPr>
            <w:tcW w:w="4530"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Internetový prohlížeč</w:t>
            </w:r>
          </w:p>
        </w:tc>
        <w:tc>
          <w:tcPr>
            <w:tcW w:w="452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Microsoft Edge, Mozilla Firefox 91 Extended Support Release, Google Chrome</w:t>
            </w:r>
          </w:p>
        </w:tc>
      </w:tr>
      <w:tr>
        <w:trPr/>
        <w:tc>
          <w:tcPr>
            <w:tcW w:w="9059" w:type="dxa"/>
            <w:gridSpan w:val="2"/>
            <w:tcBorders>
              <w:left w:val="nil"/>
              <w:right w:val="nil"/>
            </w:tcBorders>
          </w:tcPr>
          <w:p>
            <w:pPr>
              <w:pStyle w:val="Normal"/>
              <w:widowControl/>
              <w:spacing w:lineRule="auto" w:line="276" w:before="0" w:after="120"/>
              <w:jc w:val="left"/>
              <w:rPr>
                <w:bCs/>
              </w:rPr>
            </w:pPr>
            <w:r>
              <w:rPr>
                <w:rFonts w:eastAsia="Times New Roman" w:cs="Times New Roman"/>
                <w:bCs/>
                <w:kern w:val="0"/>
                <w:lang w:val="cs-CZ" w:eastAsia="cs-CZ" w:bidi="ar-SA"/>
              </w:rPr>
            </w:r>
          </w:p>
        </w:tc>
      </w:tr>
      <w:tr>
        <w:trPr/>
        <w:tc>
          <w:tcPr>
            <w:tcW w:w="4530"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Textový editor</w:t>
            </w:r>
          </w:p>
        </w:tc>
        <w:tc>
          <w:tcPr>
            <w:tcW w:w="452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Microsoft Office 2016, 2019, 2021</w:t>
            </w:r>
          </w:p>
        </w:tc>
      </w:tr>
      <w:tr>
        <w:trPr/>
        <w:tc>
          <w:tcPr>
            <w:tcW w:w="9059" w:type="dxa"/>
            <w:gridSpan w:val="2"/>
            <w:tcBorders>
              <w:left w:val="nil"/>
              <w:right w:val="nil"/>
            </w:tcBorders>
          </w:tcPr>
          <w:p>
            <w:pPr>
              <w:pStyle w:val="Normal"/>
              <w:widowControl/>
              <w:spacing w:lineRule="auto" w:line="276" w:before="0" w:after="120"/>
              <w:jc w:val="left"/>
              <w:rPr>
                <w:bCs/>
              </w:rPr>
            </w:pPr>
            <w:r>
              <w:rPr>
                <w:rFonts w:eastAsia="Times New Roman" w:cs="Times New Roman"/>
                <w:bCs/>
                <w:kern w:val="0"/>
                <w:lang w:val="cs-CZ" w:eastAsia="cs-CZ" w:bidi="ar-SA"/>
              </w:rPr>
            </w:r>
          </w:p>
        </w:tc>
      </w:tr>
      <w:tr>
        <w:trPr/>
        <w:tc>
          <w:tcPr>
            <w:tcW w:w="4530"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Formulářová řešení</w:t>
            </w:r>
          </w:p>
        </w:tc>
        <w:tc>
          <w:tcPr>
            <w:tcW w:w="452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Software602 Form Filler v. 4.x</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30"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Mobilní aplikace</w:t>
            </w:r>
          </w:p>
        </w:tc>
        <w:tc>
          <w:tcPr>
            <w:tcW w:w="452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Operační systém: Android 6.0.x - 12.0.x</w:t>
            </w:r>
            <w:r>
              <w:rPr>
                <w:rStyle w:val="Ukotvenpoznmkypodarou"/>
                <w:rFonts w:eastAsia="Times New Roman" w:cs="Times New Roman"/>
                <w:kern w:val="0"/>
                <w:lang w:val="cs-CZ" w:eastAsia="cs-CZ" w:bidi="ar-SA"/>
              </w:rPr>
              <w:footnoteReference w:id="4"/>
            </w:r>
          </w:p>
        </w:tc>
      </w:tr>
    </w:tbl>
    <w:p>
      <w:pPr>
        <w:pStyle w:val="Normal"/>
        <w:rPr>
          <w:rStyle w:val="TextTun"/>
        </w:rPr>
      </w:pPr>
      <w:r>
        <w:rPr/>
      </w:r>
      <w:r>
        <w:br w:type="page"/>
      </w:r>
    </w:p>
    <w:p>
      <w:pPr>
        <w:pStyle w:val="Nadpis2"/>
        <w:rPr/>
      </w:pPr>
      <w:bookmarkStart w:id="35" w:name="_Toc99713450"/>
      <w:bookmarkStart w:id="36" w:name="_Toc469388618"/>
      <w:bookmarkStart w:id="37" w:name="_Toc468368072"/>
      <w:r>
        <w:rPr/>
        <w:t>Portlist VERA Radnice - doplňkové technologie, serverová část</w:t>
      </w:r>
      <w:bookmarkEnd w:id="35"/>
      <w:bookmarkEnd w:id="36"/>
      <w:bookmarkEnd w:id="37"/>
    </w:p>
    <w:tbl>
      <w:tblPr>
        <w:tblStyle w:val="Mkatabulky"/>
        <w:tblW w:w="9060" w:type="dxa"/>
        <w:jc w:val="left"/>
        <w:tblInd w:w="0" w:type="dxa"/>
        <w:tblLayout w:type="fixed"/>
        <w:tblCellMar>
          <w:top w:w="0" w:type="dxa"/>
          <w:left w:w="108" w:type="dxa"/>
          <w:bottom w:w="0" w:type="dxa"/>
          <w:right w:w="108" w:type="dxa"/>
        </w:tblCellMar>
        <w:tblLook w:firstRow="1" w:noVBand="1" w:lastRow="0" w:firstColumn="0" w:lastColumn="0" w:noHBand="1" w:val="0620"/>
      </w:tblPr>
      <w:tblGrid>
        <w:gridCol w:w="4520"/>
        <w:gridCol w:w="4539"/>
      </w:tblGrid>
      <w:tr>
        <w:trPr/>
        <w:tc>
          <w:tcPr>
            <w:tcW w:w="9059" w:type="dxa"/>
            <w:gridSpan w:val="2"/>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Business Intelligence nástroje</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20" w:type="dxa"/>
            <w:vMerge w:val="restart"/>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Technologie BIRT – Klikací rozpočet</w:t>
            </w:r>
          </w:p>
        </w:tc>
        <w:tc>
          <w:tcPr>
            <w:tcW w:w="453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BIRT Runtime Release Build: 4.6.0, OpenJDK 1.8 nebo Java JRE 1.8</w:t>
            </w:r>
          </w:p>
        </w:tc>
      </w:tr>
      <w:tr>
        <w:trPr/>
        <w:tc>
          <w:tcPr>
            <w:tcW w:w="4520" w:type="dxa"/>
            <w:vMerge w:val="continue"/>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c>
          <w:tcPr>
            <w:tcW w:w="453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Ostatní podmínky stejné jako pro serverovou část VERA Radnice</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20" w:type="dxa"/>
            <w:vMerge w:val="restart"/>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 xml:space="preserve">Technologie SpagoBI - Manažerský informační </w:t>
            </w:r>
          </w:p>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systém</w:t>
            </w:r>
          </w:p>
        </w:tc>
        <w:tc>
          <w:tcPr>
            <w:tcW w:w="453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SpagoBI 5.1.0</w:t>
            </w:r>
          </w:p>
        </w:tc>
      </w:tr>
      <w:tr>
        <w:trPr/>
        <w:tc>
          <w:tcPr>
            <w:tcW w:w="4520" w:type="dxa"/>
            <w:vMerge w:val="continue"/>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c>
          <w:tcPr>
            <w:tcW w:w="453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Prostředí Java - OpenJDK 1.8 nebo Java SE Development Kit 8</w:t>
            </w:r>
          </w:p>
        </w:tc>
      </w:tr>
      <w:tr>
        <w:trPr/>
        <w:tc>
          <w:tcPr>
            <w:tcW w:w="4520" w:type="dxa"/>
            <w:vMerge w:val="continue"/>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c>
          <w:tcPr>
            <w:tcW w:w="453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Ostatní podmínky stejné jako pro serverovou část VERA Radnice</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9059" w:type="dxa"/>
            <w:gridSpan w:val="2"/>
            <w:tcBorders/>
          </w:tcPr>
          <w:p>
            <w:pPr>
              <w:pStyle w:val="Normal"/>
              <w:widowControl/>
              <w:spacing w:before="0" w:after="120"/>
              <w:jc w:val="left"/>
              <w:rPr>
                <w:rStyle w:val="TextTun"/>
              </w:rPr>
            </w:pPr>
            <w:r>
              <w:rPr>
                <w:rStyle w:val="TextTun"/>
                <w:rFonts w:eastAsia="Times New Roman" w:cs="Times New Roman"/>
                <w:kern w:val="0"/>
                <w:lang w:val="cs-CZ" w:eastAsia="cs-CZ" w:bidi="ar-SA"/>
              </w:rPr>
              <w:t>Mobilní aplikace</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20"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Technologie Genero Mobile – Městská policie</w:t>
            </w:r>
          </w:p>
        </w:tc>
        <w:tc>
          <w:tcPr>
            <w:tcW w:w="453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Stejné podmínky jako VERA Radnice - serverová část</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9059" w:type="dxa"/>
            <w:gridSpan w:val="2"/>
            <w:tcBorders/>
          </w:tcPr>
          <w:p>
            <w:pPr>
              <w:pStyle w:val="Normal"/>
              <w:widowControl/>
              <w:spacing w:before="0" w:after="120"/>
              <w:jc w:val="left"/>
              <w:rPr>
                <w:rStyle w:val="TextTun"/>
              </w:rPr>
            </w:pPr>
            <w:r>
              <w:rPr>
                <w:rStyle w:val="TextTun"/>
                <w:rFonts w:eastAsia="Times New Roman" w:cs="Times New Roman"/>
                <w:kern w:val="0"/>
                <w:lang w:val="cs-CZ" w:eastAsia="cs-CZ" w:bidi="ar-SA"/>
              </w:rPr>
              <w:t>Portálové řešení</w:t>
            </w:r>
          </w:p>
        </w:tc>
      </w:tr>
      <w:tr>
        <w:trPr/>
        <w:tc>
          <w:tcPr>
            <w:tcW w:w="9059" w:type="dxa"/>
            <w:gridSpan w:val="2"/>
            <w:tcBorders>
              <w:left w:val="nil"/>
              <w:right w:val="nil"/>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20"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Portál Občana</w:t>
            </w:r>
          </w:p>
        </w:tc>
        <w:tc>
          <w:tcPr>
            <w:tcW w:w="453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Stejné podmínky jako VERA Radnice - serverová část</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20" w:type="dxa"/>
            <w:vMerge w:val="restart"/>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Technologie Liferay – Portál manažera</w:t>
            </w:r>
          </w:p>
        </w:tc>
        <w:tc>
          <w:tcPr>
            <w:tcW w:w="4539" w:type="dxa"/>
            <w:tcBorders/>
          </w:tcPr>
          <w:p>
            <w:pPr>
              <w:pStyle w:val="Normal"/>
              <w:widowControl/>
              <w:spacing w:before="0" w:after="120"/>
              <w:jc w:val="left"/>
              <w:rPr>
                <w:lang w:val="en-US"/>
              </w:rPr>
            </w:pPr>
            <w:r>
              <w:rPr>
                <w:rFonts w:eastAsia="Times New Roman" w:cs="Times New Roman"/>
                <w:kern w:val="0"/>
                <w:lang w:val="cs-CZ" w:eastAsia="cs-CZ" w:bidi="ar-SA"/>
              </w:rPr>
              <w:t>Databáze - pouze Oracle Databáze</w:t>
            </w:r>
          </w:p>
        </w:tc>
      </w:tr>
      <w:tr>
        <w:trPr/>
        <w:tc>
          <w:tcPr>
            <w:tcW w:w="4520" w:type="dxa"/>
            <w:vMerge w:val="continue"/>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c>
          <w:tcPr>
            <w:tcW w:w="453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Ostatní podmínky stejné jako pro serverovou část VERA Radnice</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9059" w:type="dxa"/>
            <w:gridSpan w:val="2"/>
            <w:tcBorders/>
          </w:tcPr>
          <w:p>
            <w:pPr>
              <w:pStyle w:val="Normal"/>
              <w:widowControl/>
              <w:spacing w:before="0" w:after="120"/>
              <w:jc w:val="left"/>
              <w:rPr>
                <w:rStyle w:val="TextTun"/>
              </w:rPr>
            </w:pPr>
            <w:r>
              <w:rPr>
                <w:rStyle w:val="TextTun"/>
                <w:rFonts w:eastAsia="Times New Roman" w:cs="Times New Roman"/>
                <w:kern w:val="0"/>
                <w:lang w:val="cs-CZ" w:eastAsia="cs-CZ" w:bidi="ar-SA"/>
              </w:rPr>
              <w:t>Serverové služby převodů</w:t>
            </w:r>
          </w:p>
        </w:tc>
      </w:tr>
      <w:tr>
        <w:trPr/>
        <w:tc>
          <w:tcPr>
            <w:tcW w:w="9059" w:type="dxa"/>
            <w:gridSpan w:val="2"/>
            <w:tcBorders>
              <w:left w:val="nil"/>
              <w:right w:val="nil"/>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r>
      <w:tr>
        <w:trPr/>
        <w:tc>
          <w:tcPr>
            <w:tcW w:w="4520" w:type="dxa"/>
            <w:vMerge w:val="restart"/>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Technologie VAS – Vera Aplikační Server</w:t>
            </w:r>
          </w:p>
        </w:tc>
        <w:tc>
          <w:tcPr>
            <w:tcW w:w="453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Acrobat Pro DC 2020 cz</w:t>
            </w:r>
          </w:p>
        </w:tc>
      </w:tr>
      <w:tr>
        <w:trPr/>
        <w:tc>
          <w:tcPr>
            <w:tcW w:w="4520" w:type="dxa"/>
            <w:vMerge w:val="continue"/>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c>
          <w:tcPr>
            <w:tcW w:w="453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Microsoft Office 2016</w:t>
            </w:r>
            <w:r>
              <w:rPr>
                <w:rStyle w:val="Ukotvenpoznmkypodarou"/>
                <w:rFonts w:eastAsia="Times New Roman" w:cs="Times New Roman"/>
                <w:kern w:val="0"/>
                <w:lang w:val="cs-CZ" w:eastAsia="cs-CZ" w:bidi="ar-SA"/>
              </w:rPr>
              <w:footnoteReference w:id="5"/>
            </w:r>
            <w:r>
              <w:rPr>
                <w:rFonts w:eastAsia="Times New Roman" w:cs="Times New Roman"/>
                <w:kern w:val="0"/>
                <w:lang w:val="cs-CZ" w:eastAsia="cs-CZ" w:bidi="ar-SA"/>
              </w:rPr>
              <w:t>, 2019, 2021</w:t>
            </w:r>
          </w:p>
        </w:tc>
      </w:tr>
      <w:tr>
        <w:trPr/>
        <w:tc>
          <w:tcPr>
            <w:tcW w:w="4520" w:type="dxa"/>
            <w:vMerge w:val="continue"/>
            <w:tcBorders/>
          </w:tcPr>
          <w:p>
            <w:pPr>
              <w:pStyle w:val="Normal"/>
              <w:widowControl/>
              <w:spacing w:lineRule="auto" w:line="276" w:before="0" w:after="120"/>
              <w:jc w:val="left"/>
              <w:rPr>
                <w:rFonts w:eastAsia="Times New Roman" w:cs="Times New Roman"/>
                <w:kern w:val="0"/>
                <w:lang w:val="cs-CZ" w:eastAsia="cs-CZ" w:bidi="ar-SA"/>
              </w:rPr>
            </w:pPr>
            <w:r>
              <w:rPr>
                <w:rFonts w:eastAsia="Times New Roman" w:cs="Times New Roman"/>
                <w:kern w:val="0"/>
                <w:lang w:val="cs-CZ" w:eastAsia="cs-CZ" w:bidi="ar-SA"/>
              </w:rPr>
            </w:r>
          </w:p>
        </w:tc>
        <w:tc>
          <w:tcPr>
            <w:tcW w:w="4539" w:type="dxa"/>
            <w:tcBorders/>
          </w:tcPr>
          <w:p>
            <w:pPr>
              <w:pStyle w:val="Normal"/>
              <w:widowControl/>
              <w:spacing w:before="0" w:after="120"/>
              <w:jc w:val="left"/>
              <w:rPr>
                <w:rFonts w:eastAsia="Times New Roman" w:cs="Times New Roman"/>
                <w:kern w:val="0"/>
                <w:lang w:val="cs-CZ" w:eastAsia="cs-CZ" w:bidi="ar-SA"/>
              </w:rPr>
            </w:pPr>
            <w:r>
              <w:rPr>
                <w:rFonts w:eastAsia="Times New Roman" w:cs="Times New Roman"/>
                <w:kern w:val="0"/>
                <w:lang w:val="cs-CZ" w:eastAsia="cs-CZ" w:bidi="ar-SA"/>
              </w:rPr>
              <w:t>Serverový Microsoft operační systém 2016 a 2019</w:t>
            </w:r>
          </w:p>
        </w:tc>
      </w:tr>
    </w:tbl>
    <w:p>
      <w:pPr>
        <w:sectPr>
          <w:headerReference w:type="default" r:id="rId4"/>
          <w:footerReference w:type="default" r:id="rId5"/>
          <w:footnotePr>
            <w:numFmt w:val="decimal"/>
          </w:footnotePr>
          <w:type w:val="nextPage"/>
          <w:pgSz w:w="11906" w:h="16838"/>
          <w:pgMar w:left="1418" w:right="1418" w:gutter="0" w:header="709" w:top="1418" w:footer="709" w:bottom="1418"/>
          <w:pgNumType w:start="1" w:fmt="decimal"/>
          <w:formProt w:val="false"/>
          <w:textDirection w:val="lrTb"/>
          <w:docGrid w:type="default" w:linePitch="360" w:charSpace="0"/>
        </w:sectPr>
      </w:pPr>
    </w:p>
    <w:p>
      <w:pPr>
        <w:pStyle w:val="RLProhlensmluvnchstran"/>
        <w:rPr/>
      </w:pPr>
      <w:bookmarkStart w:id="38" w:name="Annex03"/>
      <w:bookmarkEnd w:id="38"/>
      <w:r>
        <w:rPr/>
        <w:t xml:space="preserve">Příloha č. 2A </w:t>
      </w:r>
    </w:p>
    <w:p>
      <w:pPr>
        <w:pStyle w:val="RLProhlensmluvnchstran"/>
        <w:rPr/>
      </w:pPr>
      <w:r>
        <w:rPr/>
        <w:t>Hot Line, Help Desk, Vzdálený přístup</w:t>
      </w:r>
    </w:p>
    <w:p>
      <w:pPr>
        <w:pStyle w:val="Normal"/>
        <w:rPr>
          <w:b/>
          <w:b/>
        </w:rPr>
      </w:pPr>
      <w:r>
        <w:rPr>
          <w:b/>
        </w:rPr>
      </w:r>
    </w:p>
    <w:p>
      <w:pPr>
        <w:pStyle w:val="Normal"/>
        <w:rPr>
          <w:b/>
          <w:b/>
        </w:rPr>
      </w:pPr>
      <w:r>
        <w:rPr>
          <w:b/>
        </w:rPr>
        <w:t>Dostupnost a parametry Hot Line</w:t>
      </w:r>
    </w:p>
    <w:p>
      <w:pPr>
        <w:pStyle w:val="Normal"/>
        <w:rPr/>
      </w:pPr>
      <w:r>
        <w:rPr/>
        <w:t xml:space="preserve">Telefon: </w:t>
        <w:tab/>
        <w:t>495 703 212</w:t>
      </w:r>
    </w:p>
    <w:p>
      <w:pPr>
        <w:pStyle w:val="Normal"/>
        <w:rPr/>
      </w:pPr>
      <w:r>
        <w:rPr/>
        <w:t xml:space="preserve">E-mail: </w:t>
        <w:tab/>
        <w:tab/>
      </w:r>
      <w:hyperlink r:id="rId6">
        <w:r>
          <w:rPr>
            <w:rStyle w:val="Internetovodkaz"/>
          </w:rPr>
          <w:t>hotline@vera.cz</w:t>
        </w:r>
      </w:hyperlink>
      <w:r>
        <w:rPr/>
        <w:t xml:space="preserve"> </w:t>
      </w:r>
    </w:p>
    <w:p>
      <w:pPr>
        <w:pStyle w:val="Normal"/>
        <w:rPr/>
      </w:pPr>
      <w:r>
        <w:rPr/>
        <w:t>Služba je poskytována v pracovních dnech v době mezi 8 :00 a 16:00 hod. (dále jen „</w:t>
      </w:r>
      <w:r>
        <w:rPr>
          <w:b/>
        </w:rPr>
        <w:t>Pracovní doba</w:t>
      </w:r>
      <w:r>
        <w:rPr/>
        <w:t>“).</w:t>
      </w:r>
    </w:p>
    <w:p>
      <w:pPr>
        <w:pStyle w:val="Normal"/>
        <w:rPr>
          <w:b/>
          <w:b/>
        </w:rPr>
      </w:pPr>
      <w:r>
        <w:rPr>
          <w:b/>
        </w:rPr>
      </w:r>
    </w:p>
    <w:p>
      <w:pPr>
        <w:pStyle w:val="Normal"/>
        <w:rPr>
          <w:b/>
          <w:b/>
        </w:rPr>
      </w:pPr>
      <w:r>
        <w:rPr>
          <w:b/>
        </w:rPr>
        <w:t>Dostupnost a parametry Help Desku</w:t>
      </w:r>
    </w:p>
    <w:p>
      <w:pPr>
        <w:pStyle w:val="Normal"/>
        <w:rPr/>
      </w:pPr>
      <w:r>
        <w:rPr/>
        <w:t xml:space="preserve">Poskytovatel zajistí Help Desk a bude jej udržovat dostupný v pracovní dny a časy. </w:t>
      </w:r>
    </w:p>
    <w:p>
      <w:pPr>
        <w:pStyle w:val="Normal"/>
        <w:rPr/>
      </w:pPr>
      <w:r>
        <w:rPr/>
        <w:t>Služba je poskytována v pracovních dnech v době mezi 8 :00 a 16:00 hod. (dále jen „</w:t>
      </w:r>
      <w:r>
        <w:rPr>
          <w:b/>
        </w:rPr>
        <w:t>Pracovní doba</w:t>
      </w:r>
      <w:r>
        <w:rPr/>
        <w:t>“).</w:t>
      </w:r>
    </w:p>
    <w:p>
      <w:pPr>
        <w:pStyle w:val="Normal"/>
        <w:rPr>
          <w:rStyle w:val="Internetovodkaz"/>
        </w:rPr>
      </w:pPr>
      <w:r>
        <w:rPr/>
        <w:t xml:space="preserve">Mimo zmíněnou Pracovní dobu je aplikace Help Desk plně k dispozici na internetu na následujících stránkách: </w:t>
      </w:r>
      <w:hyperlink r:id="rId7">
        <w:r>
          <w:rPr>
            <w:rStyle w:val="Internetovodkaz"/>
          </w:rPr>
          <w:t>https://helpdesk.vera.cz/ih/ihzakaznik</w:t>
        </w:r>
      </w:hyperlink>
      <w:r>
        <w:rPr>
          <w:rStyle w:val="Internetovodkaz"/>
        </w:rPr>
        <w:t>.</w:t>
      </w:r>
    </w:p>
    <w:p>
      <w:pPr>
        <w:pStyle w:val="Normal"/>
        <w:rPr/>
      </w:pPr>
      <w:r>
        <w:rPr/>
        <w:t>Provozní doba internetové aplikace: 24/7/365.</w:t>
      </w:r>
    </w:p>
    <w:p>
      <w:pPr>
        <w:pStyle w:val="Normal"/>
        <w:rPr/>
      </w:pPr>
      <w:r>
        <w:rPr/>
      </w:r>
    </w:p>
    <w:p>
      <w:pPr>
        <w:pStyle w:val="Normal"/>
        <w:rPr>
          <w:b/>
          <w:b/>
        </w:rPr>
      </w:pPr>
      <w:r>
        <w:rPr>
          <w:b/>
        </w:rPr>
        <w:t>Vzdálený přístup</w:t>
      </w:r>
    </w:p>
    <w:p>
      <w:pPr>
        <w:pStyle w:val="Normal"/>
        <w:rPr/>
      </w:pPr>
      <w:r>
        <w:rPr/>
        <w:t>Nabyvatel se zavazuje poskytnout a zabezpečit Poskytovateli SSH přístup a vzdálenou správu na plochu z následujících IP adres odborných pracovišť společnosti VERA platných v době uzavření této smlouvy:</w:t>
      </w:r>
    </w:p>
    <w:tbl>
      <w:tblPr>
        <w:tblStyle w:val="Svtltabulkasmkou1zvraznn11"/>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3023"/>
        <w:gridCol w:w="3024"/>
        <w:gridCol w:w="3023"/>
      </w:tblGrid>
      <w:tr>
        <w:trPr>
          <w:cnfStyle w:val="100000000000" w:firstRow="1" w:lastRow="0" w:firstColumn="0" w:lastColumn="0" w:oddVBand="0" w:evenVBand="0" w:oddHBand="0" w:evenHBand="0" w:firstRowFirstColumn="0" w:firstRowLastColumn="0" w:lastRowFirstColumn="0" w:lastRowLastColumn="0"/>
        </w:trPr>
        <w:tc>
          <w:tcPr>
            <w:tcW w:w="3023" w:type="dxa"/>
            <w:cnfStyle w:val="001000000000" w:firstRow="0" w:lastRow="0" w:firstColumn="1" w:lastColumn="0" w:oddVBand="0" w:evenVBand="0" w:oddHBand="0" w:evenHBand="0" w:firstRowFirstColumn="0" w:firstRowLastColumn="0" w:lastRowFirstColumn="0" w:lastRowLastColumn="0"/>
            <w:tcBorders>
              <w:bottom w:val="single" w:sz="12" w:space="0" w:color="95B3D7"/>
            </w:tcBorders>
          </w:tcPr>
          <w:p>
            <w:pPr>
              <w:pStyle w:val="Normal"/>
              <w:widowControl/>
              <w:spacing w:before="0" w:after="120"/>
              <w:jc w:val="left"/>
              <w:rPr>
                <w:rFonts w:eastAsia="Times New Roman" w:cs="Times New Roman"/>
                <w:b/>
                <w:b/>
                <w:bCs/>
                <w:kern w:val="0"/>
                <w:lang w:val="cs-CZ" w:eastAsia="cs-CZ" w:bidi="ar-SA"/>
              </w:rPr>
            </w:pPr>
            <w:r>
              <w:rPr>
                <w:rFonts w:eastAsia="Times New Roman" w:cs="Times New Roman"/>
                <w:b/>
                <w:bCs/>
                <w:kern w:val="0"/>
                <w:lang w:val="cs-CZ" w:eastAsia="cs-CZ" w:bidi="ar-SA"/>
              </w:rPr>
              <w:t xml:space="preserve"> </w:t>
            </w:r>
            <w:r>
              <w:rPr>
                <w:rFonts w:eastAsia="Times New Roman" w:cs="Times New Roman"/>
                <w:b/>
                <w:bCs/>
                <w:kern w:val="0"/>
                <w:lang w:val="cs-CZ" w:eastAsia="cs-CZ" w:bidi="ar-SA"/>
              </w:rPr>
              <w:t xml:space="preserve">IP adresa </w:t>
            </w:r>
          </w:p>
        </w:tc>
        <w:tc>
          <w:tcPr>
            <w:tcW w:w="3024" w:type="dxa"/>
            <w:tcBorders>
              <w:bottom w:val="single" w:sz="12" w:space="0" w:color="95B3D7"/>
            </w:tcBorders>
          </w:tcPr>
          <w:p>
            <w:pPr>
              <w:pStyle w:val="Normal"/>
              <w:widowControl/>
              <w:spacing w:before="0" w:after="120"/>
              <w:jc w:val="left"/>
              <w:cnfStyle w:val="100000000000" w:firstRow="1" w:lastRow="0" w:firstColumn="0" w:lastColumn="0" w:oddVBand="0" w:evenVBand="0" w:oddHBand="0" w:evenHBand="0" w:firstRowFirstColumn="0" w:firstRowLastColumn="0" w:lastRowFirstColumn="0" w:lastRowLastColumn="0"/>
              <w:rPr>
                <w:rFonts w:eastAsia="Times New Roman" w:cs="Times New Roman"/>
                <w:b/>
                <w:b/>
                <w:bCs/>
                <w:kern w:val="0"/>
                <w:lang w:val="cs-CZ" w:eastAsia="cs-CZ" w:bidi="ar-SA"/>
              </w:rPr>
            </w:pPr>
            <w:r>
              <w:rPr>
                <w:rFonts w:eastAsia="Times New Roman" w:cs="Times New Roman"/>
                <w:b/>
                <w:bCs/>
                <w:kern w:val="0"/>
                <w:lang w:val="cs-CZ" w:eastAsia="cs-CZ" w:bidi="ar-SA"/>
              </w:rPr>
              <w:t>DNS název</w:t>
            </w:r>
          </w:p>
        </w:tc>
        <w:tc>
          <w:tcPr>
            <w:tcW w:w="3023" w:type="dxa"/>
            <w:tcBorders>
              <w:bottom w:val="single" w:sz="12" w:space="0" w:color="95B3D7"/>
            </w:tcBorders>
          </w:tcPr>
          <w:p>
            <w:pPr>
              <w:pStyle w:val="Normal"/>
              <w:widowControl/>
              <w:spacing w:before="0" w:after="120"/>
              <w:jc w:val="left"/>
              <w:cnfStyle w:val="100000000000" w:firstRow="1" w:lastRow="0" w:firstColumn="0" w:lastColumn="0" w:oddVBand="0" w:evenVBand="0" w:oddHBand="0" w:evenHBand="0" w:firstRowFirstColumn="0" w:firstRowLastColumn="0" w:lastRowFirstColumn="0" w:lastRowLastColumn="0"/>
              <w:rPr>
                <w:rFonts w:eastAsia="Times New Roman" w:cs="Times New Roman"/>
                <w:b/>
                <w:b/>
                <w:bCs/>
                <w:kern w:val="0"/>
                <w:lang w:val="cs-CZ" w:eastAsia="cs-CZ" w:bidi="ar-SA"/>
              </w:rPr>
            </w:pPr>
            <w:r>
              <w:rPr>
                <w:rFonts w:eastAsia="Times New Roman" w:cs="Times New Roman"/>
                <w:b/>
                <w:bCs/>
                <w:kern w:val="0"/>
                <w:lang w:val="cs-CZ" w:eastAsia="cs-CZ" w:bidi="ar-SA"/>
              </w:rPr>
              <w:t>lokalita</w:t>
            </w:r>
          </w:p>
        </w:tc>
      </w:tr>
      <w:tr>
        <w:trPr/>
        <w:tc>
          <w:tcPr>
            <w:tcW w:w="3023" w:type="dxa"/>
            <w:cnfStyle w:val="001000000000" w:firstRow="0" w:lastRow="0" w:firstColumn="1" w:lastColumn="0" w:oddVBand="0" w:evenVBand="0" w:oddHBand="0" w:evenHBand="0" w:firstRowFirstColumn="0" w:firstRowLastColumn="0" w:lastRowFirstColumn="0" w:lastRowLastColumn="0"/>
            <w:tcBorders/>
          </w:tcPr>
          <w:p>
            <w:pPr>
              <w:pStyle w:val="Normal"/>
              <w:widowControl/>
              <w:spacing w:before="0" w:after="120"/>
              <w:jc w:val="left"/>
              <w:rPr>
                <w:b w:val="false"/>
                <w:b w:val="false"/>
              </w:rPr>
            </w:pPr>
            <w:r>
              <w:rPr>
                <w:rFonts w:eastAsia="Times New Roman" w:cs="Times New Roman"/>
                <w:b w:val="false"/>
                <w:bCs/>
                <w:kern w:val="0"/>
                <w:lang w:val="cs-CZ" w:eastAsia="cs-CZ" w:bidi="ar-SA"/>
              </w:rPr>
              <w:t>109.123.212.220</w:t>
            </w:r>
          </w:p>
        </w:tc>
        <w:tc>
          <w:tcPr>
            <w:tcW w:w="3024" w:type="dxa"/>
            <w:tcBorders/>
          </w:tcPr>
          <w:p>
            <w:pPr>
              <w:pStyle w:val="Normal"/>
              <w:widowControl/>
              <w:spacing w:before="0" w:after="120"/>
              <w:jc w:val="left"/>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cs-CZ" w:eastAsia="cs-CZ" w:bidi="ar-SA"/>
              </w:rPr>
            </w:pPr>
            <w:r>
              <w:rPr>
                <w:rFonts w:eastAsia="Times New Roman" w:cs="Times New Roman"/>
                <w:kern w:val="0"/>
                <w:lang w:val="cs-CZ" w:eastAsia="cs-CZ" w:bidi="ar-SA"/>
              </w:rPr>
              <w:t xml:space="preserve">praha.vera.cz </w:t>
            </w:r>
          </w:p>
        </w:tc>
        <w:tc>
          <w:tcPr>
            <w:tcW w:w="3023" w:type="dxa"/>
            <w:tcBorders/>
          </w:tcPr>
          <w:p>
            <w:pPr>
              <w:pStyle w:val="Normal"/>
              <w:widowControl/>
              <w:spacing w:before="0" w:after="120"/>
              <w:jc w:val="left"/>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cs-CZ" w:eastAsia="cs-CZ" w:bidi="ar-SA"/>
              </w:rPr>
            </w:pPr>
            <w:r>
              <w:rPr>
                <w:rFonts w:eastAsia="Times New Roman" w:cs="Times New Roman"/>
                <w:kern w:val="0"/>
                <w:lang w:val="cs-CZ" w:eastAsia="cs-CZ" w:bidi="ar-SA"/>
              </w:rPr>
              <w:t xml:space="preserve">pobočka Praha </w:t>
            </w:r>
          </w:p>
        </w:tc>
      </w:tr>
      <w:tr>
        <w:trPr/>
        <w:tc>
          <w:tcPr>
            <w:tcW w:w="3023" w:type="dxa"/>
            <w:cnfStyle w:val="001000000000" w:firstRow="0" w:lastRow="0" w:firstColumn="1" w:lastColumn="0" w:oddVBand="0" w:evenVBand="0" w:oddHBand="0" w:evenHBand="0" w:firstRowFirstColumn="0" w:firstRowLastColumn="0" w:lastRowFirstColumn="0" w:lastRowLastColumn="0"/>
            <w:tcBorders/>
          </w:tcPr>
          <w:p>
            <w:pPr>
              <w:pStyle w:val="Normal"/>
              <w:widowControl/>
              <w:spacing w:before="0" w:after="120"/>
              <w:jc w:val="left"/>
              <w:rPr>
                <w:b w:val="false"/>
                <w:b w:val="false"/>
              </w:rPr>
            </w:pPr>
            <w:r>
              <w:rPr>
                <w:rFonts w:eastAsia="Times New Roman" w:cs="Times New Roman"/>
                <w:b w:val="false"/>
                <w:bCs/>
                <w:kern w:val="0"/>
                <w:lang w:val="cs-CZ" w:eastAsia="cs-CZ" w:bidi="ar-SA"/>
              </w:rPr>
              <w:t>88.103.194.131</w:t>
            </w:r>
          </w:p>
        </w:tc>
        <w:tc>
          <w:tcPr>
            <w:tcW w:w="3024" w:type="dxa"/>
            <w:tcBorders/>
          </w:tcPr>
          <w:p>
            <w:pPr>
              <w:pStyle w:val="Normal"/>
              <w:widowControl/>
              <w:spacing w:before="0" w:after="120"/>
              <w:jc w:val="left"/>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cs-CZ" w:eastAsia="cs-CZ" w:bidi="ar-SA"/>
              </w:rPr>
            </w:pPr>
            <w:r>
              <w:rPr>
                <w:rFonts w:eastAsia="Times New Roman" w:cs="Times New Roman"/>
                <w:kern w:val="0"/>
                <w:lang w:val="cs-CZ" w:eastAsia="cs-CZ" w:bidi="ar-SA"/>
              </w:rPr>
              <w:t xml:space="preserve">brno.vera.cz </w:t>
            </w:r>
          </w:p>
        </w:tc>
        <w:tc>
          <w:tcPr>
            <w:tcW w:w="3023" w:type="dxa"/>
            <w:tcBorders/>
          </w:tcPr>
          <w:p>
            <w:pPr>
              <w:pStyle w:val="Normal"/>
              <w:widowControl/>
              <w:spacing w:before="0" w:after="120"/>
              <w:jc w:val="left"/>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cs-CZ" w:eastAsia="cs-CZ" w:bidi="ar-SA"/>
              </w:rPr>
            </w:pPr>
            <w:r>
              <w:rPr>
                <w:rFonts w:eastAsia="Times New Roman" w:cs="Times New Roman"/>
                <w:kern w:val="0"/>
                <w:lang w:val="cs-CZ" w:eastAsia="cs-CZ" w:bidi="ar-SA"/>
              </w:rPr>
              <w:t xml:space="preserve">pobočka Brno </w:t>
            </w:r>
          </w:p>
        </w:tc>
      </w:tr>
      <w:tr>
        <w:trPr/>
        <w:tc>
          <w:tcPr>
            <w:tcW w:w="3023" w:type="dxa"/>
            <w:cnfStyle w:val="001000000000" w:firstRow="0" w:lastRow="0" w:firstColumn="1" w:lastColumn="0" w:oddVBand="0" w:evenVBand="0" w:oddHBand="0" w:evenHBand="0" w:firstRowFirstColumn="0" w:firstRowLastColumn="0" w:lastRowFirstColumn="0" w:lastRowLastColumn="0"/>
            <w:tcBorders/>
          </w:tcPr>
          <w:p>
            <w:pPr>
              <w:pStyle w:val="Normal"/>
              <w:widowControl/>
              <w:spacing w:before="0" w:after="120"/>
              <w:jc w:val="left"/>
              <w:rPr>
                <w:b w:val="false"/>
                <w:b w:val="false"/>
              </w:rPr>
            </w:pPr>
            <w:r>
              <w:rPr>
                <w:rFonts w:eastAsia="Times New Roman" w:cs="Times New Roman"/>
                <w:b w:val="false"/>
                <w:bCs/>
                <w:kern w:val="0"/>
                <w:lang w:val="cs-CZ" w:eastAsia="cs-CZ" w:bidi="ar-SA"/>
              </w:rPr>
              <w:t>90.182.130.242</w:t>
            </w:r>
          </w:p>
        </w:tc>
        <w:tc>
          <w:tcPr>
            <w:tcW w:w="3024" w:type="dxa"/>
            <w:tcBorders/>
          </w:tcPr>
          <w:p>
            <w:pPr>
              <w:pStyle w:val="Normal"/>
              <w:widowControl/>
              <w:spacing w:before="0" w:after="120"/>
              <w:jc w:val="left"/>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cs-CZ" w:eastAsia="cs-CZ" w:bidi="ar-SA"/>
              </w:rPr>
            </w:pPr>
            <w:r>
              <w:rPr>
                <w:rFonts w:eastAsia="Times New Roman" w:cs="Times New Roman"/>
                <w:kern w:val="0"/>
                <w:lang w:val="cs-CZ" w:eastAsia="cs-CZ" w:bidi="ar-SA"/>
              </w:rPr>
              <w:t xml:space="preserve">chlumec.vera.cz </w:t>
            </w:r>
          </w:p>
        </w:tc>
        <w:tc>
          <w:tcPr>
            <w:tcW w:w="3023" w:type="dxa"/>
            <w:tcBorders/>
          </w:tcPr>
          <w:p>
            <w:pPr>
              <w:pStyle w:val="Normal"/>
              <w:widowControl/>
              <w:spacing w:before="0" w:after="120"/>
              <w:jc w:val="left"/>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cs-CZ" w:eastAsia="cs-CZ" w:bidi="ar-SA"/>
              </w:rPr>
            </w:pPr>
            <w:r>
              <w:rPr>
                <w:rFonts w:eastAsia="Times New Roman" w:cs="Times New Roman"/>
                <w:kern w:val="0"/>
                <w:lang w:val="cs-CZ" w:eastAsia="cs-CZ" w:bidi="ar-SA"/>
              </w:rPr>
              <w:t xml:space="preserve">pobočka Chlumec nad Cidlinou </w:t>
            </w:r>
          </w:p>
        </w:tc>
      </w:tr>
      <w:tr>
        <w:trPr/>
        <w:tc>
          <w:tcPr>
            <w:tcW w:w="3023" w:type="dxa"/>
            <w:cnfStyle w:val="001000000000" w:firstRow="0" w:lastRow="0" w:firstColumn="1" w:lastColumn="0" w:oddVBand="0" w:evenVBand="0" w:oddHBand="0" w:evenHBand="0" w:firstRowFirstColumn="0" w:firstRowLastColumn="0" w:lastRowFirstColumn="0" w:lastRowLastColumn="0"/>
            <w:tcBorders/>
          </w:tcPr>
          <w:p>
            <w:pPr>
              <w:pStyle w:val="Normal"/>
              <w:widowControl/>
              <w:spacing w:before="0" w:after="120"/>
              <w:jc w:val="left"/>
              <w:rPr>
                <w:b w:val="false"/>
                <w:b w:val="false"/>
              </w:rPr>
            </w:pPr>
            <w:r>
              <w:rPr>
                <w:rFonts w:eastAsia="Times New Roman" w:cs="Times New Roman"/>
                <w:b w:val="false"/>
                <w:bCs/>
                <w:kern w:val="0"/>
                <w:lang w:val="cs-CZ" w:eastAsia="cs-CZ" w:bidi="ar-SA"/>
              </w:rPr>
              <w:t xml:space="preserve">90.179.135.25 </w:t>
            </w:r>
          </w:p>
        </w:tc>
        <w:tc>
          <w:tcPr>
            <w:tcW w:w="3024" w:type="dxa"/>
            <w:tcBorders/>
          </w:tcPr>
          <w:p>
            <w:pPr>
              <w:pStyle w:val="Normal"/>
              <w:widowControl/>
              <w:spacing w:before="0" w:after="120"/>
              <w:jc w:val="left"/>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cs-CZ" w:eastAsia="cs-CZ" w:bidi="ar-SA"/>
              </w:rPr>
            </w:pPr>
            <w:r>
              <w:rPr>
                <w:rFonts w:eastAsia="Times New Roman" w:cs="Times New Roman"/>
                <w:kern w:val="0"/>
                <w:lang w:val="cs-CZ" w:eastAsia="cs-CZ" w:bidi="ar-SA"/>
              </w:rPr>
              <w:t xml:space="preserve">kunovice.vera.cz </w:t>
            </w:r>
          </w:p>
        </w:tc>
        <w:tc>
          <w:tcPr>
            <w:tcW w:w="3023" w:type="dxa"/>
            <w:tcBorders/>
          </w:tcPr>
          <w:p>
            <w:pPr>
              <w:pStyle w:val="Normal"/>
              <w:widowControl/>
              <w:spacing w:before="0" w:after="120"/>
              <w:jc w:val="left"/>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cs-CZ" w:eastAsia="cs-CZ" w:bidi="ar-SA"/>
              </w:rPr>
            </w:pPr>
            <w:r>
              <w:rPr>
                <w:rFonts w:eastAsia="Times New Roman" w:cs="Times New Roman"/>
                <w:kern w:val="0"/>
                <w:lang w:val="cs-CZ" w:eastAsia="cs-CZ" w:bidi="ar-SA"/>
              </w:rPr>
              <w:t xml:space="preserve">detašované pracoviště </w:t>
            </w:r>
          </w:p>
        </w:tc>
      </w:tr>
      <w:tr>
        <w:trPr/>
        <w:tc>
          <w:tcPr>
            <w:tcW w:w="3023" w:type="dxa"/>
            <w:cnfStyle w:val="001000000000" w:firstRow="0" w:lastRow="0" w:firstColumn="1" w:lastColumn="0" w:oddVBand="0" w:evenVBand="0" w:oddHBand="0" w:evenHBand="0" w:firstRowFirstColumn="0" w:firstRowLastColumn="0" w:lastRowFirstColumn="0" w:lastRowLastColumn="0"/>
            <w:tcBorders/>
          </w:tcPr>
          <w:p>
            <w:pPr>
              <w:pStyle w:val="Normal"/>
              <w:widowControl/>
              <w:spacing w:before="0" w:after="120"/>
              <w:jc w:val="left"/>
              <w:rPr>
                <w:b w:val="false"/>
                <w:b w:val="false"/>
              </w:rPr>
            </w:pPr>
            <w:r>
              <w:rPr>
                <w:rFonts w:eastAsia="Times New Roman" w:cs="Times New Roman"/>
                <w:b w:val="false"/>
                <w:bCs/>
                <w:kern w:val="0"/>
                <w:lang w:val="cs-CZ" w:eastAsia="cs-CZ" w:bidi="ar-SA"/>
              </w:rPr>
              <w:t>77.236.204.89</w:t>
            </w:r>
          </w:p>
        </w:tc>
        <w:tc>
          <w:tcPr>
            <w:tcW w:w="3024" w:type="dxa"/>
            <w:tcBorders/>
          </w:tcPr>
          <w:p>
            <w:pPr>
              <w:pStyle w:val="Normal"/>
              <w:widowControl/>
              <w:spacing w:before="0" w:after="120"/>
              <w:jc w:val="left"/>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cs-CZ" w:eastAsia="cs-CZ" w:bidi="ar-SA"/>
              </w:rPr>
            </w:pPr>
            <w:r>
              <w:rPr>
                <w:rFonts w:eastAsia="Times New Roman" w:cs="Times New Roman"/>
                <w:kern w:val="0"/>
                <w:lang w:val="cs-CZ" w:eastAsia="cs-CZ" w:bidi="ar-SA"/>
              </w:rPr>
              <w:t xml:space="preserve">pardubice.vera.cz </w:t>
            </w:r>
          </w:p>
        </w:tc>
        <w:tc>
          <w:tcPr>
            <w:tcW w:w="3023" w:type="dxa"/>
            <w:tcBorders/>
          </w:tcPr>
          <w:p>
            <w:pPr>
              <w:pStyle w:val="Normal"/>
              <w:widowControl/>
              <w:spacing w:before="0" w:after="120"/>
              <w:jc w:val="left"/>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cs-CZ" w:eastAsia="cs-CZ" w:bidi="ar-SA"/>
              </w:rPr>
            </w:pPr>
            <w:r>
              <w:rPr>
                <w:rFonts w:eastAsia="Times New Roman" w:cs="Times New Roman"/>
                <w:kern w:val="0"/>
                <w:lang w:val="cs-CZ" w:eastAsia="cs-CZ" w:bidi="ar-SA"/>
              </w:rPr>
              <w:t xml:space="preserve">pobočka Pardubice </w:t>
            </w:r>
          </w:p>
        </w:tc>
      </w:tr>
      <w:tr>
        <w:trPr/>
        <w:tc>
          <w:tcPr>
            <w:tcW w:w="3023" w:type="dxa"/>
            <w:cnfStyle w:val="001000000000" w:firstRow="0" w:lastRow="0" w:firstColumn="1" w:lastColumn="0" w:oddVBand="0" w:evenVBand="0" w:oddHBand="0" w:evenHBand="0" w:firstRowFirstColumn="0" w:firstRowLastColumn="0" w:lastRowFirstColumn="0" w:lastRowLastColumn="0"/>
            <w:tcBorders/>
          </w:tcPr>
          <w:p>
            <w:pPr>
              <w:pStyle w:val="Normal"/>
              <w:widowControl/>
              <w:spacing w:before="0" w:after="120"/>
              <w:jc w:val="left"/>
              <w:rPr>
                <w:b w:val="false"/>
                <w:b w:val="false"/>
              </w:rPr>
            </w:pPr>
            <w:r>
              <w:rPr>
                <w:rFonts w:eastAsia="Times New Roman" w:cs="Times New Roman"/>
                <w:b w:val="false"/>
                <w:bCs/>
                <w:kern w:val="0"/>
                <w:lang w:val="cs-CZ" w:eastAsia="cs-CZ" w:bidi="ar-SA"/>
              </w:rPr>
              <w:t>109.81.186.69</w:t>
            </w:r>
          </w:p>
        </w:tc>
        <w:tc>
          <w:tcPr>
            <w:tcW w:w="3024" w:type="dxa"/>
            <w:tcBorders/>
          </w:tcPr>
          <w:p>
            <w:pPr>
              <w:pStyle w:val="Normal"/>
              <w:widowControl/>
              <w:spacing w:before="0" w:after="120"/>
              <w:jc w:val="left"/>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cs-CZ" w:eastAsia="cs-CZ" w:bidi="ar-SA"/>
              </w:rPr>
            </w:pPr>
            <w:r>
              <w:rPr>
                <w:rFonts w:eastAsia="Times New Roman" w:cs="Times New Roman"/>
                <w:kern w:val="0"/>
                <w:lang w:val="cs-CZ" w:eastAsia="cs-CZ" w:bidi="ar-SA"/>
              </w:rPr>
              <w:t xml:space="preserve">olomouc.vera.cz </w:t>
            </w:r>
          </w:p>
        </w:tc>
        <w:tc>
          <w:tcPr>
            <w:tcW w:w="3023" w:type="dxa"/>
            <w:tcBorders/>
          </w:tcPr>
          <w:p>
            <w:pPr>
              <w:pStyle w:val="Normal"/>
              <w:widowControl/>
              <w:spacing w:before="0" w:after="120"/>
              <w:jc w:val="left"/>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cs-CZ" w:eastAsia="cs-CZ" w:bidi="ar-SA"/>
              </w:rPr>
            </w:pPr>
            <w:r>
              <w:rPr>
                <w:rFonts w:eastAsia="Times New Roman" w:cs="Times New Roman"/>
                <w:kern w:val="0"/>
                <w:lang w:val="cs-CZ" w:eastAsia="cs-CZ" w:bidi="ar-SA"/>
              </w:rPr>
              <w:t xml:space="preserve">pobočka Olomouc </w:t>
            </w:r>
          </w:p>
        </w:tc>
      </w:tr>
      <w:tr>
        <w:trPr/>
        <w:tc>
          <w:tcPr>
            <w:tcW w:w="3023" w:type="dxa"/>
            <w:cnfStyle w:val="001000000000" w:firstRow="0" w:lastRow="0" w:firstColumn="1" w:lastColumn="0" w:oddVBand="0" w:evenVBand="0" w:oddHBand="0" w:evenHBand="0" w:firstRowFirstColumn="0" w:firstRowLastColumn="0" w:lastRowFirstColumn="0" w:lastRowLastColumn="0"/>
            <w:tcBorders/>
          </w:tcPr>
          <w:p>
            <w:pPr>
              <w:pStyle w:val="Normal"/>
              <w:widowControl/>
              <w:spacing w:before="0" w:after="120"/>
              <w:jc w:val="left"/>
              <w:rPr>
                <w:b w:val="false"/>
                <w:b w:val="false"/>
              </w:rPr>
            </w:pPr>
            <w:r>
              <w:rPr>
                <w:rFonts w:eastAsia="Times New Roman" w:cs="Times New Roman"/>
                <w:b w:val="false"/>
                <w:bCs/>
                <w:kern w:val="0"/>
                <w:lang w:val="cs-CZ" w:eastAsia="cs-CZ" w:bidi="ar-SA"/>
              </w:rPr>
              <w:t>109.81.189.12</w:t>
            </w:r>
          </w:p>
        </w:tc>
        <w:tc>
          <w:tcPr>
            <w:tcW w:w="3024" w:type="dxa"/>
            <w:tcBorders/>
          </w:tcPr>
          <w:p>
            <w:pPr>
              <w:pStyle w:val="Normal"/>
              <w:widowControl/>
              <w:spacing w:before="0" w:after="120"/>
              <w:jc w:val="left"/>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cs-CZ" w:eastAsia="cs-CZ" w:bidi="ar-SA"/>
              </w:rPr>
            </w:pPr>
            <w:r>
              <w:rPr>
                <w:rFonts w:eastAsia="Times New Roman" w:cs="Times New Roman"/>
                <w:kern w:val="0"/>
                <w:lang w:val="cs-CZ" w:eastAsia="cs-CZ" w:bidi="ar-SA"/>
              </w:rPr>
              <w:t xml:space="preserve">ostrava.vera.cz </w:t>
            </w:r>
          </w:p>
        </w:tc>
        <w:tc>
          <w:tcPr>
            <w:tcW w:w="3023" w:type="dxa"/>
            <w:tcBorders/>
          </w:tcPr>
          <w:p>
            <w:pPr>
              <w:pStyle w:val="Normal"/>
              <w:widowControl/>
              <w:spacing w:before="0" w:after="120"/>
              <w:jc w:val="left"/>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cs-CZ" w:eastAsia="cs-CZ" w:bidi="ar-SA"/>
              </w:rPr>
            </w:pPr>
            <w:r>
              <w:rPr>
                <w:rFonts w:eastAsia="Times New Roman" w:cs="Times New Roman"/>
                <w:kern w:val="0"/>
                <w:lang w:val="cs-CZ" w:eastAsia="cs-CZ" w:bidi="ar-SA"/>
              </w:rPr>
              <w:t>pobočka Ostrava</w:t>
            </w:r>
          </w:p>
        </w:tc>
      </w:tr>
    </w:tbl>
    <w:p>
      <w:pPr>
        <w:pStyle w:val="RLProhlensmluvnchstran"/>
        <w:jc w:val="left"/>
        <w:rPr>
          <w:b w:val="false"/>
          <w:b w:val="false"/>
          <w:lang w:eastAsia="en-US"/>
        </w:rPr>
      </w:pPr>
      <w:r>
        <w:rPr>
          <w:b w:val="false"/>
          <w:lang w:eastAsia="en-US"/>
        </w:rPr>
      </w:r>
      <w:bookmarkStart w:id="39" w:name="Annex04"/>
      <w:bookmarkStart w:id="40" w:name="Annex04"/>
      <w:bookmarkEnd w:id="40"/>
    </w:p>
    <w:p>
      <w:pPr>
        <w:pStyle w:val="RLProhlensmluvnchstran"/>
        <w:jc w:val="left"/>
        <w:rPr>
          <w:b w:val="false"/>
          <w:b w:val="false"/>
          <w:lang w:eastAsia="en-US"/>
        </w:rPr>
      </w:pPr>
      <w:r>
        <w:rPr>
          <w:b w:val="false"/>
          <w:lang w:eastAsia="en-US"/>
        </w:rPr>
      </w:r>
    </w:p>
    <w:p>
      <w:pPr>
        <w:pStyle w:val="RLProhlensmluvnchstran"/>
        <w:jc w:val="left"/>
        <w:rPr>
          <w:b w:val="false"/>
          <w:b w:val="false"/>
          <w:lang w:eastAsia="en-US"/>
        </w:rPr>
      </w:pPr>
      <w:r>
        <w:rPr>
          <w:b w:val="false"/>
          <w:lang w:eastAsia="en-US"/>
        </w:rPr>
        <w:t>Služby poskytované výše zmíněnou formou jsou zpoplatněny dle aktuálního ceníku mimo případy, kdy je služba využita pro nahlášení vady Software.</w:t>
      </w:r>
    </w:p>
    <w:p>
      <w:pPr>
        <w:pStyle w:val="RLProhlensmluvnchstran"/>
        <w:jc w:val="left"/>
        <w:rPr>
          <w:b w:val="false"/>
          <w:b w:val="false"/>
          <w:lang w:eastAsia="en-US"/>
        </w:rPr>
      </w:pPr>
      <w:r>
        <w:rPr>
          <w:b w:val="false"/>
          <w:lang w:eastAsia="en-US"/>
        </w:rPr>
        <w:t xml:space="preserve">Nabyvatel umožní využití výše zmíněných forem komunikace pouze osobám, které jsou oprávněny ohlásit vadu Software a objednat služby Poskytovatele dle ceníku Poskytovatele. </w:t>
      </w:r>
    </w:p>
    <w:p>
      <w:pPr>
        <w:sectPr>
          <w:headerReference w:type="default" r:id="rId8"/>
          <w:footerReference w:type="default" r:id="rId9"/>
          <w:footnotePr>
            <w:numFmt w:val="decimal"/>
          </w:footnotePr>
          <w:type w:val="nextPage"/>
          <w:pgSz w:w="11906" w:h="16838"/>
          <w:pgMar w:left="1418" w:right="1418" w:gutter="0" w:header="709" w:top="1418" w:footer="709" w:bottom="1418"/>
          <w:pgNumType w:start="1" w:fmt="decimal"/>
          <w:formProt w:val="false"/>
          <w:textDirection w:val="lrTb"/>
          <w:docGrid w:type="default" w:linePitch="360" w:charSpace="0"/>
        </w:sectPr>
        <w:pStyle w:val="RLProhlensmluvnchstran"/>
        <w:jc w:val="left"/>
        <w:rPr>
          <w:b w:val="false"/>
          <w:b w:val="false"/>
          <w:lang w:eastAsia="en-US"/>
        </w:rPr>
      </w:pPr>
      <w:r>
        <w:rPr>
          <w:b w:val="false"/>
          <w:lang w:eastAsia="en-US"/>
        </w:rPr>
      </w:r>
    </w:p>
    <w:p>
      <w:pPr>
        <w:pStyle w:val="RLProhlensmluvnchstran"/>
        <w:rPr>
          <w:b w:val="false"/>
          <w:b w:val="false"/>
          <w:lang w:eastAsia="en-US"/>
        </w:rPr>
      </w:pPr>
      <w:r>
        <w:rPr/>
        <w:t>Příloha č. 2B</w:t>
      </w:r>
    </w:p>
    <w:p>
      <w:pPr>
        <w:pStyle w:val="RLProhlensmluvnchstran"/>
        <w:rPr>
          <w:b w:val="false"/>
          <w:b w:val="false"/>
          <w:lang w:eastAsia="en-US"/>
        </w:rPr>
      </w:pPr>
      <w:r>
        <w:rPr/>
        <w:t>Rozšířená Technická podpora</w:t>
      </w:r>
    </w:p>
    <w:p>
      <w:pPr>
        <w:pStyle w:val="RLProhlensmluvnchstran"/>
        <w:rPr>
          <w:b w:val="false"/>
          <w:b w:val="false"/>
          <w:lang w:eastAsia="en-US"/>
        </w:rPr>
      </w:pPr>
      <w:r>
        <w:rPr/>
      </w:r>
    </w:p>
    <w:tbl>
      <w:tblPr>
        <w:tblW w:w="9960" w:type="dxa"/>
        <w:jc w:val="left"/>
        <w:tblInd w:w="55" w:type="dxa"/>
        <w:tblLayout w:type="fixed"/>
        <w:tblCellMar>
          <w:top w:w="0" w:type="dxa"/>
          <w:left w:w="70" w:type="dxa"/>
          <w:bottom w:w="0" w:type="dxa"/>
          <w:right w:w="70" w:type="dxa"/>
        </w:tblCellMar>
        <w:tblLook w:firstRow="1" w:noVBand="1" w:lastRow="0" w:firstColumn="1" w:lastColumn="0" w:noHBand="0" w:val="04a0"/>
      </w:tblPr>
      <w:tblGrid>
        <w:gridCol w:w="2849"/>
        <w:gridCol w:w="271"/>
        <w:gridCol w:w="2565"/>
        <w:gridCol w:w="1133"/>
        <w:gridCol w:w="993"/>
        <w:gridCol w:w="1188"/>
        <w:gridCol w:w="960"/>
      </w:tblGrid>
      <w:tr>
        <w:trPr>
          <w:trHeight w:val="590" w:hRule="atLeast"/>
        </w:trPr>
        <w:tc>
          <w:tcPr>
            <w:tcW w:w="8999" w:type="dxa"/>
            <w:gridSpan w:val="6"/>
            <w:tcBorders/>
            <w:shd w:color="auto" w:fill="auto" w:val="clear"/>
            <w:vAlign w:val="center"/>
          </w:tcPr>
          <w:p>
            <w:pPr>
              <w:pStyle w:val="Normal"/>
              <w:widowControl w:val="false"/>
              <w:spacing w:lineRule="auto" w:line="240" w:before="0" w:after="0"/>
              <w:rPr>
                <w:rFonts w:cs="Calibri"/>
                <w:b/>
                <w:b/>
                <w:bCs/>
                <w:color w:val="000000"/>
                <w:szCs w:val="22"/>
              </w:rPr>
            </w:pPr>
            <w:r>
              <w:rPr>
                <w:rFonts w:cs="Calibri"/>
                <w:b/>
                <w:bCs/>
                <w:color w:val="000000"/>
                <w:szCs w:val="22"/>
              </w:rPr>
              <w:t xml:space="preserve">Předplacený roční objem Rozšířené technické podpory </w:t>
            </w:r>
          </w:p>
        </w:tc>
        <w:tc>
          <w:tcPr>
            <w:tcW w:w="960" w:type="dxa"/>
            <w:tcBorders/>
            <w:shd w:color="auto" w:fill="auto" w:val="clear"/>
            <w:vAlign w:val="bottom"/>
          </w:tcPr>
          <w:p>
            <w:pPr>
              <w:pStyle w:val="Normal"/>
              <w:widowControl w:val="false"/>
              <w:spacing w:lineRule="auto" w:line="240" w:before="0" w:after="0"/>
              <w:rPr>
                <w:rFonts w:cs="Calibri"/>
                <w:color w:val="000000"/>
                <w:szCs w:val="22"/>
              </w:rPr>
            </w:pPr>
            <w:r>
              <w:rPr>
                <w:rFonts w:cs="Calibri"/>
                <w:color w:val="000000"/>
                <w:szCs w:val="22"/>
              </w:rPr>
            </w:r>
          </w:p>
        </w:tc>
      </w:tr>
      <w:tr>
        <w:trPr>
          <w:trHeight w:val="90" w:hRule="exact"/>
        </w:trPr>
        <w:tc>
          <w:tcPr>
            <w:tcW w:w="3120" w:type="dxa"/>
            <w:gridSpan w:val="2"/>
            <w:tcBorders/>
            <w:shd w:color="auto" w:fill="auto" w:val="clear"/>
            <w:vAlign w:val="bottom"/>
          </w:tcPr>
          <w:p>
            <w:pPr>
              <w:pStyle w:val="Normal"/>
              <w:widowControl w:val="false"/>
              <w:spacing w:lineRule="auto" w:line="240" w:before="0" w:after="0"/>
              <w:rPr>
                <w:rFonts w:cs="Calibri"/>
                <w:color w:val="000000"/>
                <w:szCs w:val="22"/>
              </w:rPr>
            </w:pPr>
            <w:r>
              <w:rPr>
                <w:rFonts w:cs="Calibri"/>
                <w:color w:val="000000"/>
                <w:szCs w:val="22"/>
              </w:rPr>
            </w:r>
          </w:p>
        </w:tc>
        <w:tc>
          <w:tcPr>
            <w:tcW w:w="2565" w:type="dxa"/>
            <w:tcBorders/>
            <w:shd w:color="auto" w:fill="auto" w:val="clear"/>
            <w:vAlign w:val="bottom"/>
          </w:tcPr>
          <w:p>
            <w:pPr>
              <w:pStyle w:val="Normal"/>
              <w:widowControl w:val="false"/>
              <w:spacing w:lineRule="auto" w:line="240" w:before="0" w:after="0"/>
              <w:rPr>
                <w:rFonts w:cs="Calibri"/>
                <w:color w:val="000000"/>
                <w:szCs w:val="22"/>
              </w:rPr>
            </w:pPr>
            <w:r>
              <w:rPr>
                <w:rFonts w:cs="Calibri"/>
                <w:color w:val="000000"/>
                <w:szCs w:val="22"/>
              </w:rPr>
            </w:r>
          </w:p>
        </w:tc>
        <w:tc>
          <w:tcPr>
            <w:tcW w:w="1133" w:type="dxa"/>
            <w:tcBorders/>
            <w:shd w:color="auto" w:fill="auto" w:val="clear"/>
            <w:vAlign w:val="bottom"/>
          </w:tcPr>
          <w:p>
            <w:pPr>
              <w:pStyle w:val="Normal"/>
              <w:widowControl w:val="false"/>
              <w:spacing w:lineRule="auto" w:line="240" w:before="0" w:after="0"/>
              <w:rPr>
                <w:rFonts w:cs="Calibri"/>
                <w:color w:val="000000"/>
                <w:szCs w:val="22"/>
              </w:rPr>
            </w:pPr>
            <w:r>
              <w:rPr>
                <w:rFonts w:cs="Calibri"/>
                <w:color w:val="000000"/>
                <w:szCs w:val="22"/>
              </w:rPr>
            </w:r>
          </w:p>
        </w:tc>
        <w:tc>
          <w:tcPr>
            <w:tcW w:w="993" w:type="dxa"/>
            <w:tcBorders/>
            <w:shd w:color="auto" w:fill="auto" w:val="clear"/>
            <w:vAlign w:val="bottom"/>
          </w:tcPr>
          <w:p>
            <w:pPr>
              <w:pStyle w:val="Normal"/>
              <w:widowControl w:val="false"/>
              <w:spacing w:lineRule="auto" w:line="240" w:before="0" w:after="0"/>
              <w:rPr>
                <w:rFonts w:cs="Calibri"/>
                <w:color w:val="000000"/>
                <w:szCs w:val="22"/>
              </w:rPr>
            </w:pPr>
            <w:r>
              <w:rPr>
                <w:rFonts w:cs="Calibri"/>
                <w:color w:val="000000"/>
                <w:szCs w:val="22"/>
              </w:rPr>
            </w:r>
          </w:p>
        </w:tc>
        <w:tc>
          <w:tcPr>
            <w:tcW w:w="1188" w:type="dxa"/>
            <w:tcBorders/>
            <w:shd w:color="auto" w:fill="auto" w:val="clear"/>
            <w:vAlign w:val="bottom"/>
          </w:tcPr>
          <w:p>
            <w:pPr>
              <w:pStyle w:val="Normal"/>
              <w:widowControl w:val="false"/>
              <w:spacing w:lineRule="auto" w:line="240" w:before="0" w:after="0"/>
              <w:rPr>
                <w:rFonts w:cs="Calibri"/>
                <w:color w:val="000000"/>
                <w:szCs w:val="22"/>
              </w:rPr>
            </w:pPr>
            <w:r>
              <w:rPr>
                <w:rFonts w:cs="Calibri"/>
                <w:color w:val="000000"/>
                <w:szCs w:val="22"/>
              </w:rPr>
            </w:r>
          </w:p>
        </w:tc>
        <w:tc>
          <w:tcPr>
            <w:tcW w:w="960" w:type="dxa"/>
            <w:tcBorders>
              <w:bottom w:val="single" w:sz="4" w:space="0" w:color="000000"/>
            </w:tcBorders>
            <w:shd w:color="auto" w:fill="auto" w:val="clear"/>
            <w:vAlign w:val="bottom"/>
          </w:tcPr>
          <w:p>
            <w:pPr>
              <w:pStyle w:val="Normal"/>
              <w:widowControl w:val="false"/>
              <w:spacing w:lineRule="auto" w:line="240" w:before="0" w:after="0"/>
              <w:rPr>
                <w:rFonts w:cs="Calibri"/>
                <w:color w:val="000000"/>
                <w:szCs w:val="22"/>
              </w:rPr>
            </w:pPr>
            <w:r>
              <w:rPr>
                <w:rFonts w:cs="Calibri"/>
                <w:color w:val="000000"/>
                <w:szCs w:val="22"/>
              </w:rPr>
            </w:r>
          </w:p>
        </w:tc>
      </w:tr>
      <w:tr>
        <w:trPr>
          <w:trHeight w:val="1350" w:hRule="atLeast"/>
        </w:trPr>
        <w:tc>
          <w:tcPr>
            <w:tcW w:w="2849" w:type="dxa"/>
            <w:tcBorders>
              <w:top w:val="single" w:sz="4" w:space="0" w:color="000000"/>
              <w:left w:val="single" w:sz="4" w:space="0" w:color="000000"/>
              <w:bottom w:val="single" w:sz="4" w:space="0" w:color="000000"/>
              <w:right w:val="single" w:sz="4" w:space="0" w:color="000000"/>
            </w:tcBorders>
            <w:shd w:color="000000" w:fill="C0C0C0" w:val="clear"/>
            <w:vAlign w:val="center"/>
          </w:tcPr>
          <w:p>
            <w:pPr>
              <w:pStyle w:val="Normal"/>
              <w:widowControl w:val="false"/>
              <w:spacing w:lineRule="auto" w:line="240" w:before="0" w:after="0"/>
              <w:rPr>
                <w:rFonts w:cs="Calibri"/>
                <w:b/>
                <w:b/>
                <w:bCs/>
                <w:color w:val="000000"/>
                <w:szCs w:val="22"/>
              </w:rPr>
            </w:pPr>
            <w:r>
              <w:rPr>
                <w:rFonts w:cs="Calibri" w:cstheme="minorHAnsi"/>
                <w:b/>
                <w:bCs/>
                <w:szCs w:val="22"/>
              </w:rPr>
              <w:t>Předplacený objem Rozšířené technické podpory</w:t>
            </w:r>
          </w:p>
        </w:tc>
        <w:tc>
          <w:tcPr>
            <w:tcW w:w="2836" w:type="dxa"/>
            <w:gridSpan w:val="2"/>
            <w:tcBorders>
              <w:top w:val="single" w:sz="4" w:space="0" w:color="000000"/>
              <w:bottom w:val="single" w:sz="4" w:space="0" w:color="000000"/>
              <w:right w:val="single" w:sz="4" w:space="0" w:color="000000"/>
            </w:tcBorders>
            <w:shd w:color="000000" w:fill="C0C0C0" w:val="clear"/>
            <w:vAlign w:val="center"/>
          </w:tcPr>
          <w:p>
            <w:pPr>
              <w:pStyle w:val="Normal"/>
              <w:widowControl w:val="false"/>
              <w:spacing w:lineRule="auto" w:line="240" w:before="0" w:after="0"/>
              <w:jc w:val="center"/>
              <w:rPr>
                <w:rFonts w:cs="Calibri"/>
                <w:b/>
                <w:b/>
                <w:bCs/>
                <w:color w:val="000000"/>
                <w:szCs w:val="22"/>
              </w:rPr>
            </w:pPr>
            <w:r>
              <w:rPr>
                <w:rFonts w:cs="Calibri"/>
                <w:b/>
                <w:bCs/>
                <w:color w:val="000000"/>
                <w:szCs w:val="22"/>
              </w:rPr>
              <w:t>Jednotka služby</w:t>
            </w:r>
          </w:p>
        </w:tc>
        <w:tc>
          <w:tcPr>
            <w:tcW w:w="1133" w:type="dxa"/>
            <w:tcBorders>
              <w:top w:val="single" w:sz="4" w:space="0" w:color="000000"/>
              <w:bottom w:val="single" w:sz="4" w:space="0" w:color="000000"/>
              <w:right w:val="single" w:sz="4" w:space="0" w:color="000000"/>
            </w:tcBorders>
            <w:shd w:color="000000" w:fill="C0C0C0" w:val="clear"/>
            <w:vAlign w:val="center"/>
          </w:tcPr>
          <w:p>
            <w:pPr>
              <w:pStyle w:val="Normal"/>
              <w:widowControl w:val="false"/>
              <w:spacing w:lineRule="auto" w:line="240" w:before="0" w:after="0"/>
              <w:jc w:val="center"/>
              <w:rPr>
                <w:rFonts w:cs="Calibri"/>
                <w:b/>
                <w:b/>
                <w:bCs/>
                <w:color w:val="000000"/>
                <w:szCs w:val="22"/>
              </w:rPr>
            </w:pPr>
            <w:r>
              <w:rPr>
                <w:rFonts w:cs="Calibri"/>
                <w:b/>
                <w:bCs/>
                <w:color w:val="000000"/>
                <w:szCs w:val="22"/>
              </w:rPr>
              <w:t xml:space="preserve">Počet jednotek </w:t>
            </w:r>
          </w:p>
        </w:tc>
        <w:tc>
          <w:tcPr>
            <w:tcW w:w="993" w:type="dxa"/>
            <w:tcBorders>
              <w:top w:val="single" w:sz="4" w:space="0" w:color="000000"/>
              <w:bottom w:val="single" w:sz="4" w:space="0" w:color="000000"/>
              <w:right w:val="single" w:sz="4" w:space="0" w:color="000000"/>
            </w:tcBorders>
            <w:shd w:color="000000" w:fill="C0C0C0" w:val="clear"/>
            <w:vAlign w:val="center"/>
          </w:tcPr>
          <w:p>
            <w:pPr>
              <w:pStyle w:val="Normal"/>
              <w:widowControl w:val="false"/>
              <w:spacing w:lineRule="auto" w:line="240" w:before="0" w:after="0"/>
              <w:jc w:val="center"/>
              <w:rPr>
                <w:rFonts w:cs="Calibri"/>
                <w:b/>
                <w:b/>
                <w:bCs/>
                <w:color w:val="000000"/>
                <w:szCs w:val="22"/>
              </w:rPr>
            </w:pPr>
            <w:r>
              <w:rPr>
                <w:rFonts w:cs="Calibri"/>
                <w:b/>
                <w:bCs/>
                <w:color w:val="000000"/>
                <w:szCs w:val="22"/>
              </w:rPr>
              <w:t>Období</w:t>
            </w:r>
          </w:p>
        </w:tc>
        <w:tc>
          <w:tcPr>
            <w:tcW w:w="1188" w:type="dxa"/>
            <w:tcBorders>
              <w:top w:val="single" w:sz="4" w:space="0" w:color="000000"/>
              <w:bottom w:val="single" w:sz="4" w:space="0" w:color="000000"/>
              <w:right w:val="single" w:sz="4" w:space="0" w:color="000000"/>
            </w:tcBorders>
            <w:shd w:color="000000" w:fill="C0C0C0" w:val="clear"/>
            <w:vAlign w:val="center"/>
          </w:tcPr>
          <w:p>
            <w:pPr>
              <w:pStyle w:val="Normal"/>
              <w:widowControl w:val="false"/>
              <w:spacing w:lineRule="auto" w:line="240" w:before="0" w:after="0"/>
              <w:jc w:val="center"/>
              <w:rPr>
                <w:rFonts w:cs="Calibri"/>
                <w:b/>
                <w:b/>
                <w:bCs/>
                <w:color w:val="000000"/>
                <w:szCs w:val="22"/>
              </w:rPr>
            </w:pPr>
            <w:r>
              <w:rPr>
                <w:rFonts w:cs="Calibri"/>
                <w:b/>
                <w:bCs/>
                <w:color w:val="000000"/>
                <w:szCs w:val="22"/>
              </w:rPr>
              <w:t>Cena Kč za jednotku</w:t>
            </w:r>
          </w:p>
        </w:tc>
        <w:tc>
          <w:tcPr>
            <w:tcW w:w="960" w:type="dxa"/>
            <w:tcBorders>
              <w:top w:val="single" w:sz="4" w:space="0" w:color="000000"/>
              <w:bottom w:val="single" w:sz="4" w:space="0" w:color="000000"/>
              <w:right w:val="single" w:sz="4" w:space="0" w:color="000000"/>
            </w:tcBorders>
            <w:shd w:color="auto" w:fill="auto" w:val="pct25"/>
            <w:vAlign w:val="center"/>
          </w:tcPr>
          <w:p>
            <w:pPr>
              <w:pStyle w:val="Normal"/>
              <w:widowControl w:val="false"/>
              <w:spacing w:lineRule="auto" w:line="240" w:before="0" w:after="0"/>
              <w:jc w:val="center"/>
              <w:rPr>
                <w:rFonts w:cs="Calibri"/>
                <w:b/>
                <w:b/>
                <w:color w:val="000000"/>
                <w:szCs w:val="22"/>
              </w:rPr>
            </w:pPr>
            <w:r>
              <w:rPr>
                <w:rFonts w:cs="Calibri"/>
                <w:b/>
                <w:color w:val="000000"/>
                <w:szCs w:val="22"/>
              </w:rPr>
              <w:t>Cena Kč celkem</w:t>
            </w:r>
          </w:p>
        </w:tc>
      </w:tr>
      <w:tr>
        <w:trPr>
          <w:trHeight w:val="290" w:hRule="atLeast"/>
        </w:trPr>
        <w:tc>
          <w:tcPr>
            <w:tcW w:w="2849" w:type="dxa"/>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Školení základní pro nového uživatele</w:t>
            </w:r>
          </w:p>
        </w:tc>
        <w:tc>
          <w:tcPr>
            <w:tcW w:w="2836" w:type="dxa"/>
            <w:gridSpan w:val="2"/>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 xml:space="preserve">6 hodin/1 den školení </w:t>
            </w:r>
          </w:p>
        </w:tc>
        <w:tc>
          <w:tcPr>
            <w:tcW w:w="1133" w:type="dxa"/>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cs="Calibri"/>
                <w:color w:val="000000"/>
                <w:szCs w:val="22"/>
              </w:rPr>
            </w:pPr>
            <w:r>
              <w:rPr>
                <w:rFonts w:cs="Calibri"/>
                <w:color w:val="000000"/>
                <w:szCs w:val="22"/>
              </w:rPr>
              <w:t>4</w:t>
            </w:r>
          </w:p>
        </w:tc>
        <w:tc>
          <w:tcPr>
            <w:tcW w:w="993" w:type="dxa"/>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cs="Calibri"/>
                <w:color w:val="000000"/>
                <w:szCs w:val="22"/>
              </w:rPr>
            </w:pPr>
            <w:r>
              <w:rPr>
                <w:rFonts w:cs="Calibri"/>
                <w:color w:val="000000"/>
                <w:szCs w:val="22"/>
              </w:rPr>
              <w:t>rok</w:t>
            </w:r>
          </w:p>
        </w:tc>
        <w:tc>
          <w:tcPr>
            <w:tcW w:w="1188" w:type="dxa"/>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right"/>
              <w:rPr>
                <w:rFonts w:cs="Calibri"/>
                <w:color w:val="000000"/>
                <w:szCs w:val="22"/>
              </w:rPr>
            </w:pPr>
            <w:r>
              <w:rPr/>
            </w:r>
          </w:p>
        </w:tc>
        <w:tc>
          <w:tcPr>
            <w:tcW w:w="960" w:type="dxa"/>
            <w:vMerge w:val="restart"/>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right"/>
              <w:rPr>
                <w:rFonts w:cs="Calibri"/>
                <w:color w:val="000000"/>
                <w:szCs w:val="22"/>
              </w:rPr>
            </w:pPr>
            <w:r>
              <w:rPr/>
            </w:r>
          </w:p>
        </w:tc>
      </w:tr>
      <w:tr>
        <w:trPr>
          <w:trHeight w:val="310" w:hRule="atLeast"/>
        </w:trPr>
        <w:tc>
          <w:tcPr>
            <w:tcW w:w="2849"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cs="Calibri"/>
                <w:color w:val="000000"/>
                <w:szCs w:val="22"/>
              </w:rPr>
            </w:pPr>
            <w:r>
              <w:rPr>
                <w:rFonts w:cs="Calibri"/>
                <w:color w:val="000000"/>
                <w:szCs w:val="22"/>
              </w:rPr>
            </w:r>
          </w:p>
        </w:tc>
        <w:tc>
          <w:tcPr>
            <w:tcW w:w="2836" w:type="dxa"/>
            <w:gridSpan w:val="2"/>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cs="Calibri"/>
                <w:color w:val="000000"/>
                <w:szCs w:val="22"/>
              </w:rPr>
            </w:pPr>
            <w:r>
              <w:rPr>
                <w:rFonts w:cs="Calibri"/>
                <w:color w:val="000000"/>
                <w:szCs w:val="22"/>
              </w:rPr>
            </w:r>
          </w:p>
        </w:tc>
        <w:tc>
          <w:tcPr>
            <w:tcW w:w="113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cs="Calibri"/>
                <w:color w:val="000000"/>
                <w:szCs w:val="22"/>
              </w:rPr>
            </w:pPr>
            <w:r>
              <w:rPr>
                <w:rFonts w:cs="Calibri"/>
                <w:color w:val="000000"/>
                <w:szCs w:val="22"/>
              </w:rPr>
            </w:r>
          </w:p>
        </w:tc>
        <w:tc>
          <w:tcPr>
            <w:tcW w:w="993"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cs="Calibri"/>
                <w:color w:val="000000"/>
                <w:szCs w:val="22"/>
              </w:rPr>
            </w:pPr>
            <w:r>
              <w:rPr>
                <w:rFonts w:cs="Calibri"/>
                <w:color w:val="000000"/>
                <w:szCs w:val="22"/>
              </w:rPr>
            </w:r>
          </w:p>
        </w:tc>
        <w:tc>
          <w:tcPr>
            <w:tcW w:w="1188"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cs="Calibri"/>
                <w:color w:val="000000"/>
                <w:szCs w:val="22"/>
              </w:rPr>
            </w:pPr>
            <w:r>
              <w:rPr>
                <w:rFonts w:cs="Calibri"/>
                <w:color w:val="000000"/>
                <w:szCs w:val="22"/>
              </w:rPr>
            </w:r>
          </w:p>
        </w:tc>
        <w:tc>
          <w:tcPr>
            <w:tcW w:w="960" w:type="dxa"/>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cs="Calibri"/>
                <w:color w:val="000000"/>
                <w:szCs w:val="22"/>
              </w:rPr>
            </w:pPr>
            <w:r>
              <w:rPr>
                <w:rFonts w:cs="Calibri"/>
                <w:color w:val="000000"/>
                <w:szCs w:val="22"/>
              </w:rPr>
            </w:r>
          </w:p>
        </w:tc>
      </w:tr>
      <w:tr>
        <w:trPr>
          <w:trHeight w:val="320" w:hRule="atLeast"/>
        </w:trPr>
        <w:tc>
          <w:tcPr>
            <w:tcW w:w="28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Školení</w:t>
            </w:r>
          </w:p>
        </w:tc>
        <w:tc>
          <w:tcPr>
            <w:tcW w:w="2836" w:type="dxa"/>
            <w:gridSpan w:val="2"/>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 xml:space="preserve">6 hodin/1 den školení </w:t>
            </w:r>
          </w:p>
        </w:tc>
        <w:tc>
          <w:tcPr>
            <w:tcW w:w="1133"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cs="Calibri"/>
                <w:color w:val="000000"/>
                <w:szCs w:val="22"/>
              </w:rPr>
            </w:pPr>
            <w:r>
              <w:rPr>
                <w:rFonts w:cs="Calibri"/>
                <w:color w:val="000000"/>
                <w:szCs w:val="22"/>
              </w:rPr>
              <w:t>4</w:t>
            </w:r>
          </w:p>
        </w:tc>
        <w:tc>
          <w:tcPr>
            <w:tcW w:w="993"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cs="Calibri"/>
                <w:color w:val="000000"/>
                <w:szCs w:val="22"/>
              </w:rPr>
            </w:pPr>
            <w:r>
              <w:rPr>
                <w:rFonts w:cs="Calibri"/>
                <w:color w:val="000000"/>
                <w:szCs w:val="22"/>
              </w:rPr>
              <w:t>rok</w:t>
            </w:r>
          </w:p>
        </w:tc>
        <w:tc>
          <w:tcPr>
            <w:tcW w:w="1188" w:type="dxa"/>
            <w:tcBorders>
              <w:bottom w:val="single" w:sz="4" w:space="0" w:color="000000"/>
              <w:right w:val="single" w:sz="4" w:space="0" w:color="000000"/>
            </w:tcBorders>
            <w:shd w:color="auto" w:fill="auto" w:val="clear"/>
            <w:vAlign w:val="bottom"/>
          </w:tcPr>
          <w:p>
            <w:pPr>
              <w:pStyle w:val="Normal"/>
              <w:widowControl w:val="false"/>
              <w:spacing w:lineRule="auto" w:line="240" w:before="0" w:after="0"/>
              <w:jc w:val="right"/>
              <w:rPr>
                <w:rFonts w:cs="Calibri"/>
                <w:color w:val="000000"/>
                <w:szCs w:val="22"/>
              </w:rPr>
            </w:pPr>
            <w:r>
              <w:rPr/>
            </w:r>
          </w:p>
        </w:tc>
        <w:tc>
          <w:tcPr>
            <w:tcW w:w="960" w:type="dxa"/>
            <w:tcBorders>
              <w:bottom w:val="single" w:sz="4" w:space="0" w:color="000000"/>
              <w:right w:val="single" w:sz="4" w:space="0" w:color="000000"/>
            </w:tcBorders>
            <w:shd w:color="auto" w:fill="auto" w:val="clear"/>
            <w:vAlign w:val="bottom"/>
          </w:tcPr>
          <w:p>
            <w:pPr>
              <w:pStyle w:val="Normal"/>
              <w:widowControl w:val="false"/>
              <w:spacing w:lineRule="auto" w:line="240" w:before="0" w:after="0"/>
              <w:jc w:val="right"/>
              <w:rPr>
                <w:rFonts w:cs="Calibri"/>
                <w:color w:val="000000"/>
                <w:szCs w:val="22"/>
              </w:rPr>
            </w:pPr>
            <w:r>
              <w:rPr/>
            </w:r>
          </w:p>
        </w:tc>
      </w:tr>
      <w:tr>
        <w:trPr>
          <w:trHeight w:val="330" w:hRule="atLeast"/>
        </w:trPr>
        <w:tc>
          <w:tcPr>
            <w:tcW w:w="28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Konzultace</w:t>
            </w:r>
          </w:p>
        </w:tc>
        <w:tc>
          <w:tcPr>
            <w:tcW w:w="2836" w:type="dxa"/>
            <w:gridSpan w:val="2"/>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 xml:space="preserve">6 hodin/1 den konzultace </w:t>
            </w:r>
          </w:p>
        </w:tc>
        <w:tc>
          <w:tcPr>
            <w:tcW w:w="1133"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cs="Calibri"/>
                <w:color w:val="000000"/>
                <w:szCs w:val="22"/>
              </w:rPr>
            </w:pPr>
            <w:r>
              <w:rPr>
                <w:rFonts w:cs="Calibri"/>
                <w:color w:val="000000"/>
                <w:szCs w:val="22"/>
              </w:rPr>
              <w:t>4</w:t>
            </w:r>
          </w:p>
        </w:tc>
        <w:tc>
          <w:tcPr>
            <w:tcW w:w="993"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cs="Calibri"/>
                <w:color w:val="000000"/>
                <w:szCs w:val="22"/>
              </w:rPr>
            </w:pPr>
            <w:r>
              <w:rPr>
                <w:rFonts w:cs="Calibri"/>
                <w:color w:val="000000"/>
                <w:szCs w:val="22"/>
              </w:rPr>
              <w:t>rok</w:t>
            </w:r>
          </w:p>
        </w:tc>
        <w:tc>
          <w:tcPr>
            <w:tcW w:w="1188" w:type="dxa"/>
            <w:tcBorders>
              <w:bottom w:val="single" w:sz="4" w:space="0" w:color="000000"/>
              <w:right w:val="single" w:sz="4" w:space="0" w:color="000000"/>
            </w:tcBorders>
            <w:shd w:color="auto" w:fill="auto" w:val="clear"/>
            <w:vAlign w:val="bottom"/>
          </w:tcPr>
          <w:p>
            <w:pPr>
              <w:pStyle w:val="Normal"/>
              <w:widowControl w:val="false"/>
              <w:spacing w:lineRule="auto" w:line="240" w:before="0" w:after="0"/>
              <w:jc w:val="right"/>
              <w:rPr>
                <w:rFonts w:cs="Calibri"/>
                <w:color w:val="000000"/>
                <w:szCs w:val="22"/>
              </w:rPr>
            </w:pPr>
            <w:r>
              <w:rPr/>
            </w:r>
          </w:p>
        </w:tc>
        <w:tc>
          <w:tcPr>
            <w:tcW w:w="960" w:type="dxa"/>
            <w:tcBorders>
              <w:bottom w:val="single" w:sz="4" w:space="0" w:color="000000"/>
              <w:right w:val="single" w:sz="4" w:space="0" w:color="000000"/>
            </w:tcBorders>
            <w:shd w:color="auto" w:fill="auto" w:val="clear"/>
            <w:vAlign w:val="bottom"/>
          </w:tcPr>
          <w:p>
            <w:pPr>
              <w:pStyle w:val="Normal"/>
              <w:widowControl w:val="false"/>
              <w:spacing w:lineRule="auto" w:line="240" w:before="0" w:after="0"/>
              <w:jc w:val="right"/>
              <w:rPr>
                <w:rFonts w:cs="Calibri"/>
                <w:color w:val="000000"/>
                <w:szCs w:val="22"/>
              </w:rPr>
            </w:pPr>
            <w:r>
              <w:rPr/>
            </w:r>
          </w:p>
        </w:tc>
      </w:tr>
      <w:tr>
        <w:trPr>
          <w:trHeight w:val="275" w:hRule="atLeast"/>
        </w:trPr>
        <w:tc>
          <w:tcPr>
            <w:tcW w:w="28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Preventivní systémová údržba</w:t>
            </w:r>
          </w:p>
        </w:tc>
        <w:tc>
          <w:tcPr>
            <w:tcW w:w="2836" w:type="dxa"/>
            <w:gridSpan w:val="2"/>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color w:val="000000"/>
                <w:szCs w:val="22"/>
              </w:rPr>
            </w:pPr>
            <w:r>
              <w:rPr>
                <w:rFonts w:cs="Calibri"/>
                <w:color w:val="000000"/>
                <w:szCs w:val="22"/>
              </w:rPr>
              <w:t>1 hodina/1 měsíc</w:t>
            </w:r>
          </w:p>
        </w:tc>
        <w:tc>
          <w:tcPr>
            <w:tcW w:w="1133"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cs="Calibri"/>
                <w:color w:val="000000"/>
                <w:szCs w:val="22"/>
              </w:rPr>
            </w:pPr>
            <w:r>
              <w:rPr>
                <w:rFonts w:cs="Calibri"/>
                <w:color w:val="000000"/>
                <w:szCs w:val="22"/>
              </w:rPr>
              <w:t>12</w:t>
            </w:r>
          </w:p>
        </w:tc>
        <w:tc>
          <w:tcPr>
            <w:tcW w:w="993"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cs="Calibri"/>
                <w:color w:val="000000"/>
                <w:szCs w:val="22"/>
              </w:rPr>
            </w:pPr>
            <w:r>
              <w:rPr>
                <w:rFonts w:cs="Calibri"/>
                <w:color w:val="000000"/>
                <w:szCs w:val="22"/>
              </w:rPr>
              <w:t>měsíc</w:t>
            </w:r>
          </w:p>
        </w:tc>
        <w:tc>
          <w:tcPr>
            <w:tcW w:w="1188" w:type="dxa"/>
            <w:tcBorders>
              <w:bottom w:val="single" w:sz="4" w:space="0" w:color="000000"/>
              <w:right w:val="single" w:sz="4" w:space="0" w:color="000000"/>
            </w:tcBorders>
            <w:shd w:color="auto" w:fill="auto" w:val="clear"/>
            <w:vAlign w:val="bottom"/>
          </w:tcPr>
          <w:p>
            <w:pPr>
              <w:pStyle w:val="Normal"/>
              <w:widowControl w:val="false"/>
              <w:spacing w:lineRule="auto" w:line="240" w:before="0" w:after="0"/>
              <w:jc w:val="right"/>
              <w:rPr>
                <w:rFonts w:cs="Calibri"/>
                <w:color w:val="000000"/>
                <w:szCs w:val="22"/>
              </w:rPr>
            </w:pPr>
            <w:r>
              <w:rPr/>
            </w:r>
          </w:p>
        </w:tc>
        <w:tc>
          <w:tcPr>
            <w:tcW w:w="960" w:type="dxa"/>
            <w:tcBorders>
              <w:bottom w:val="single" w:sz="4" w:space="0" w:color="000000"/>
              <w:right w:val="single" w:sz="4" w:space="0" w:color="000000"/>
            </w:tcBorders>
            <w:shd w:color="auto" w:fill="auto" w:val="clear"/>
            <w:vAlign w:val="bottom"/>
          </w:tcPr>
          <w:p>
            <w:pPr>
              <w:pStyle w:val="Normal"/>
              <w:widowControl w:val="false"/>
              <w:spacing w:lineRule="auto" w:line="240" w:before="0" w:after="0"/>
              <w:jc w:val="right"/>
              <w:rPr>
                <w:rFonts w:cs="Calibri"/>
                <w:color w:val="000000"/>
                <w:szCs w:val="22"/>
              </w:rPr>
            </w:pPr>
            <w:r>
              <w:rPr/>
            </w:r>
          </w:p>
        </w:tc>
      </w:tr>
      <w:tr>
        <w:trPr>
          <w:trHeight w:val="290" w:hRule="atLeast"/>
        </w:trPr>
        <w:tc>
          <w:tcPr>
            <w:tcW w:w="2849"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b/>
                <w:b/>
                <w:color w:val="000000"/>
                <w:szCs w:val="22"/>
              </w:rPr>
            </w:pPr>
            <w:r>
              <w:rPr>
                <w:rFonts w:cs="Calibri"/>
                <w:b/>
                <w:color w:val="000000"/>
                <w:szCs w:val="22"/>
              </w:rPr>
              <w:t>Celkem bez DPH</w:t>
            </w:r>
          </w:p>
        </w:tc>
        <w:tc>
          <w:tcPr>
            <w:tcW w:w="2836" w:type="dxa"/>
            <w:gridSpan w:val="2"/>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cs="Calibri"/>
                <w:b/>
                <w:b/>
                <w:color w:val="000000"/>
                <w:szCs w:val="22"/>
              </w:rPr>
            </w:pPr>
            <w:r>
              <w:rPr>
                <w:rFonts w:cs="Calibri"/>
                <w:b/>
                <w:color w:val="000000"/>
                <w:szCs w:val="22"/>
              </w:rPr>
            </w:r>
          </w:p>
        </w:tc>
        <w:tc>
          <w:tcPr>
            <w:tcW w:w="1133"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cs="Calibri"/>
                <w:b/>
                <w:b/>
                <w:color w:val="000000"/>
                <w:szCs w:val="22"/>
              </w:rPr>
            </w:pPr>
            <w:r>
              <w:rPr>
                <w:rFonts w:cs="Calibri"/>
                <w:b/>
                <w:color w:val="000000"/>
                <w:szCs w:val="22"/>
              </w:rPr>
            </w:r>
          </w:p>
        </w:tc>
        <w:tc>
          <w:tcPr>
            <w:tcW w:w="993"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cs="Calibri"/>
                <w:b/>
                <w:b/>
                <w:color w:val="000000"/>
                <w:szCs w:val="22"/>
              </w:rPr>
            </w:pPr>
            <w:r>
              <w:rPr>
                <w:rFonts w:cs="Calibri"/>
                <w:b/>
                <w:color w:val="000000"/>
                <w:szCs w:val="22"/>
              </w:rPr>
            </w:r>
          </w:p>
        </w:tc>
        <w:tc>
          <w:tcPr>
            <w:tcW w:w="1188" w:type="dxa"/>
            <w:tcBorders>
              <w:bottom w:val="single" w:sz="4" w:space="0" w:color="000000"/>
              <w:right w:val="single" w:sz="4" w:space="0" w:color="000000"/>
            </w:tcBorders>
            <w:shd w:color="auto" w:fill="auto" w:val="clear"/>
            <w:vAlign w:val="bottom"/>
          </w:tcPr>
          <w:p>
            <w:pPr>
              <w:pStyle w:val="Normal"/>
              <w:widowControl w:val="false"/>
              <w:spacing w:lineRule="auto" w:line="240" w:before="0" w:after="0"/>
              <w:jc w:val="right"/>
              <w:rPr>
                <w:rFonts w:cs="Calibri"/>
                <w:b/>
                <w:b/>
                <w:color w:val="000000"/>
                <w:szCs w:val="22"/>
              </w:rPr>
            </w:pPr>
            <w:r>
              <w:rPr>
                <w:rFonts w:cs="Calibri"/>
                <w:b/>
                <w:color w:val="000000"/>
                <w:szCs w:val="22"/>
              </w:rPr>
            </w:r>
          </w:p>
        </w:tc>
        <w:tc>
          <w:tcPr>
            <w:tcW w:w="960" w:type="dxa"/>
            <w:tcBorders>
              <w:bottom w:val="single" w:sz="4" w:space="0" w:color="000000"/>
              <w:right w:val="single" w:sz="4" w:space="0" w:color="000000"/>
            </w:tcBorders>
            <w:shd w:color="auto" w:fill="auto" w:val="clear"/>
            <w:vAlign w:val="bottom"/>
          </w:tcPr>
          <w:p>
            <w:pPr>
              <w:pStyle w:val="Normal"/>
              <w:widowControl w:val="false"/>
              <w:spacing w:lineRule="auto" w:line="240" w:before="0" w:after="0"/>
              <w:jc w:val="right"/>
              <w:rPr>
                <w:rFonts w:cs="Calibri"/>
                <w:b/>
                <w:b/>
                <w:color w:val="000000"/>
                <w:szCs w:val="22"/>
              </w:rPr>
            </w:pPr>
            <w:r>
              <w:rPr/>
            </w:r>
          </w:p>
        </w:tc>
      </w:tr>
      <w:tr>
        <w:trPr>
          <w:trHeight w:val="290" w:hRule="exact"/>
        </w:trPr>
        <w:tc>
          <w:tcPr>
            <w:tcW w:w="2849" w:type="dxa"/>
            <w:tcBorders/>
            <w:shd w:color="auto" w:fill="auto" w:val="clear"/>
            <w:vAlign w:val="center"/>
          </w:tcPr>
          <w:p>
            <w:pPr>
              <w:pStyle w:val="Normal"/>
              <w:widowControl w:val="false"/>
              <w:spacing w:lineRule="auto" w:line="240" w:before="0" w:after="0"/>
              <w:rPr>
                <w:rFonts w:cs="Calibri"/>
                <w:color w:val="1F497D"/>
                <w:szCs w:val="22"/>
              </w:rPr>
            </w:pPr>
            <w:r>
              <w:rPr>
                <w:rFonts w:cs="Calibri"/>
                <w:color w:val="1F497D"/>
                <w:szCs w:val="22"/>
              </w:rPr>
            </w:r>
          </w:p>
        </w:tc>
        <w:tc>
          <w:tcPr>
            <w:tcW w:w="2836" w:type="dxa"/>
            <w:gridSpan w:val="2"/>
            <w:tcBorders/>
            <w:shd w:color="auto" w:fill="auto" w:val="clear"/>
            <w:vAlign w:val="bottom"/>
          </w:tcPr>
          <w:p>
            <w:pPr>
              <w:pStyle w:val="Normal"/>
              <w:widowControl w:val="false"/>
              <w:spacing w:lineRule="auto" w:line="240" w:before="0" w:after="0"/>
              <w:rPr>
                <w:rFonts w:cs="Calibri"/>
                <w:color w:val="000000"/>
                <w:szCs w:val="22"/>
              </w:rPr>
            </w:pPr>
            <w:r>
              <w:rPr>
                <w:rFonts w:cs="Calibri"/>
                <w:color w:val="000000"/>
                <w:szCs w:val="22"/>
              </w:rPr>
            </w:r>
          </w:p>
        </w:tc>
        <w:tc>
          <w:tcPr>
            <w:tcW w:w="1133" w:type="dxa"/>
            <w:tcBorders/>
            <w:shd w:color="auto" w:fill="auto" w:val="clear"/>
            <w:vAlign w:val="bottom"/>
          </w:tcPr>
          <w:p>
            <w:pPr>
              <w:pStyle w:val="Normal"/>
              <w:widowControl w:val="false"/>
              <w:spacing w:lineRule="auto" w:line="240" w:before="0" w:after="0"/>
              <w:rPr>
                <w:rFonts w:cs="Calibri"/>
                <w:color w:val="000000"/>
                <w:szCs w:val="22"/>
              </w:rPr>
            </w:pPr>
            <w:r>
              <w:rPr>
                <w:rFonts w:cs="Calibri"/>
                <w:color w:val="000000"/>
                <w:szCs w:val="22"/>
              </w:rPr>
            </w:r>
          </w:p>
        </w:tc>
        <w:tc>
          <w:tcPr>
            <w:tcW w:w="993" w:type="dxa"/>
            <w:tcBorders/>
            <w:shd w:color="auto" w:fill="auto" w:val="clear"/>
            <w:vAlign w:val="bottom"/>
          </w:tcPr>
          <w:p>
            <w:pPr>
              <w:pStyle w:val="Normal"/>
              <w:widowControl w:val="false"/>
              <w:spacing w:lineRule="auto" w:line="240" w:before="0" w:after="0"/>
              <w:rPr>
                <w:rFonts w:cs="Calibri"/>
                <w:color w:val="000000"/>
                <w:szCs w:val="22"/>
              </w:rPr>
            </w:pPr>
            <w:r>
              <w:rPr>
                <w:rFonts w:cs="Calibri"/>
                <w:color w:val="000000"/>
                <w:szCs w:val="22"/>
              </w:rPr>
            </w:r>
          </w:p>
        </w:tc>
        <w:tc>
          <w:tcPr>
            <w:tcW w:w="1188" w:type="dxa"/>
            <w:tcBorders/>
            <w:shd w:color="auto" w:fill="auto" w:val="clear"/>
            <w:vAlign w:val="bottom"/>
          </w:tcPr>
          <w:p>
            <w:pPr>
              <w:pStyle w:val="Normal"/>
              <w:widowControl w:val="false"/>
              <w:spacing w:lineRule="auto" w:line="240" w:before="0" w:after="0"/>
              <w:rPr>
                <w:rFonts w:cs="Calibri"/>
                <w:color w:val="000000"/>
                <w:szCs w:val="22"/>
              </w:rPr>
            </w:pPr>
            <w:r>
              <w:rPr>
                <w:rFonts w:cs="Calibri"/>
                <w:color w:val="000000"/>
                <w:szCs w:val="22"/>
              </w:rPr>
            </w:r>
          </w:p>
        </w:tc>
        <w:tc>
          <w:tcPr>
            <w:tcW w:w="960" w:type="dxa"/>
            <w:tcBorders/>
            <w:shd w:color="auto" w:fill="auto" w:val="clear"/>
            <w:vAlign w:val="bottom"/>
          </w:tcPr>
          <w:p>
            <w:pPr>
              <w:pStyle w:val="Normal"/>
              <w:widowControl w:val="false"/>
              <w:spacing w:lineRule="auto" w:line="240" w:before="0" w:after="0"/>
              <w:jc w:val="right"/>
              <w:rPr>
                <w:rFonts w:cs="Calibri"/>
                <w:color w:val="000000"/>
                <w:szCs w:val="22"/>
              </w:rPr>
            </w:pPr>
            <w:r>
              <w:rPr>
                <w:rFonts w:cs="Calibri"/>
                <w:color w:val="000000"/>
                <w:szCs w:val="22"/>
              </w:rPr>
            </w:r>
          </w:p>
        </w:tc>
      </w:tr>
    </w:tbl>
    <w:p>
      <w:pPr>
        <w:pStyle w:val="Normal"/>
        <w:rPr>
          <w:rFonts w:ascii="Calibri" w:hAnsi="Calibri" w:cs="Calibri" w:asciiTheme="minorHAnsi" w:cstheme="minorHAnsi" w:hAnsiTheme="minorHAnsi"/>
          <w:b/>
          <w:b/>
          <w:szCs w:val="22"/>
        </w:rPr>
      </w:pPr>
      <w:r>
        <w:rPr>
          <w:rFonts w:cs="Calibri" w:cstheme="minorHAnsi"/>
          <w:b/>
          <w:szCs w:val="22"/>
        </w:rPr>
      </w:r>
    </w:p>
    <w:p>
      <w:pPr>
        <w:pStyle w:val="Normal"/>
        <w:jc w:val="both"/>
        <w:rPr>
          <w:rFonts w:ascii="Calibri" w:hAnsi="Calibri" w:cs="Calibri" w:asciiTheme="minorHAnsi" w:cstheme="minorHAnsi" w:hAnsiTheme="minorHAnsi"/>
          <w:szCs w:val="22"/>
        </w:rPr>
      </w:pPr>
      <w:r>
        <w:rPr>
          <w:rFonts w:cs="Calibri" w:cstheme="minorHAnsi"/>
          <w:szCs w:val="22"/>
        </w:rPr>
        <w:t>Veškerá nevyčerpaná podpora se převádí do dalšího měsíce, a to i opakovaně, maximálně však do konce kalendářního roku. Pokud byla podpora využita jen částečně, převádí se do dalšího měsíce i její nevyužitá poměrná část. Pokud nebyla předplacená podpora vyčerpána do konce kalendářního roku, zavazuje Poskytovatel dohodnout s Nabyvatelem její náhradní vyčerpání, nejdéle však do konce prvního čtvrtletí následujícího roku.</w:t>
      </w:r>
    </w:p>
    <w:p>
      <w:pPr>
        <w:pStyle w:val="Normal"/>
        <w:jc w:val="both"/>
        <w:rPr>
          <w:rFonts w:ascii="Calibri" w:hAnsi="Calibri" w:cs="Calibri" w:asciiTheme="minorHAnsi" w:cstheme="minorHAnsi" w:hAnsiTheme="minorHAnsi"/>
          <w:szCs w:val="22"/>
        </w:rPr>
      </w:pPr>
      <w:r>
        <w:rPr>
          <w:rFonts w:cs="Calibri" w:cstheme="minorHAnsi"/>
          <w:szCs w:val="22"/>
        </w:rPr>
        <w:t xml:space="preserve">Nabyvatel je oprávněn služby rozšířené Technické podpory čerpat rovněž pro účely migrace služeb ve smyslu čl. </w:t>
      </w:r>
      <w:r>
        <w:rPr>
          <w:rFonts w:cs="Calibri" w:cstheme="minorHAnsi"/>
          <w:szCs w:val="22"/>
        </w:rPr>
        <w:fldChar w:fldCharType="begin"/>
      </w:r>
      <w:r>
        <w:rPr>
          <w:szCs w:val="22"/>
          <w:rFonts w:cs="Calibri"/>
        </w:rPr>
        <w:instrText xml:space="preserve"> REF _Ref8979663 \r \h </w:instrText>
      </w:r>
      <w:r>
        <w:rPr>
          <w:szCs w:val="22"/>
          <w:rFonts w:cs="Calibri"/>
        </w:rPr>
        <w:fldChar w:fldCharType="separate"/>
      </w:r>
      <w:r>
        <w:rPr>
          <w:szCs w:val="22"/>
          <w:rFonts w:cs="Calibri"/>
        </w:rPr>
        <w:t>3.</w:t>
      </w:r>
      <w:r>
        <w:rPr>
          <w:szCs w:val="22"/>
          <w:rFonts w:cs="Calibri"/>
        </w:rPr>
        <w:fldChar w:fldCharType="end"/>
      </w:r>
      <w:r>
        <w:rPr>
          <w:rFonts w:cs="Calibri" w:cstheme="minorHAnsi"/>
          <w:szCs w:val="22"/>
        </w:rPr>
        <w:t xml:space="preserve"> Smlouvy. Pro tyto účely je Nabyvatel oprávněn čerpat nevyužité části rozšířené Technické podpory a/nebo ty její části, které zjevně nebudou využity v rámci předplaceného objemu. </w:t>
      </w:r>
    </w:p>
    <w:p>
      <w:pPr>
        <w:pStyle w:val="Normal"/>
        <w:jc w:val="both"/>
        <w:rPr>
          <w:rFonts w:ascii="Calibri" w:hAnsi="Calibri" w:cs="Calibri" w:asciiTheme="minorHAnsi" w:cstheme="minorHAnsi" w:hAnsiTheme="minorHAnsi"/>
          <w:szCs w:val="22"/>
        </w:rPr>
      </w:pPr>
      <w:r>
        <w:rPr>
          <w:rFonts w:cs="Calibri" w:cstheme="minorHAnsi"/>
          <w:szCs w:val="22"/>
        </w:rPr>
        <w:t>Poskytovatel je povinen poskytovat Nabyvateli pravidelný kvartální přehled čerpání Rozšířené Technické podpory dle této Přílohy č. 2B.</w:t>
      </w:r>
    </w:p>
    <w:p>
      <w:pPr>
        <w:sectPr>
          <w:headerReference w:type="default" r:id="rId10"/>
          <w:footerReference w:type="default" r:id="rId11"/>
          <w:footnotePr>
            <w:numFmt w:val="decimal"/>
          </w:footnotePr>
          <w:type w:val="nextPage"/>
          <w:pgSz w:w="11906" w:h="16838"/>
          <w:pgMar w:left="1418" w:right="1418" w:gutter="0" w:header="709" w:top="1418" w:footer="709" w:bottom="1418"/>
          <w:pgNumType w:start="1" w:fmt="decimal"/>
          <w:formProt w:val="false"/>
          <w:textDirection w:val="lrTb"/>
          <w:docGrid w:type="default" w:linePitch="360" w:charSpace="0"/>
        </w:sectPr>
        <w:pStyle w:val="Normal"/>
        <w:jc w:val="center"/>
        <w:rPr>
          <w:lang w:eastAsia="en-US"/>
        </w:rPr>
      </w:pPr>
      <w:r>
        <w:rPr>
          <w:lang w:eastAsia="en-US"/>
        </w:rPr>
      </w:r>
      <w:bookmarkStart w:id="41" w:name="Annex05"/>
      <w:bookmarkStart w:id="42" w:name="Annex05"/>
      <w:bookmarkEnd w:id="42"/>
    </w:p>
    <w:p>
      <w:pPr>
        <w:pStyle w:val="RLProhlensmluvnchstran"/>
        <w:rPr>
          <w:b w:val="false"/>
          <w:b w:val="false"/>
          <w:lang w:eastAsia="en-US"/>
        </w:rPr>
      </w:pPr>
      <w:bookmarkStart w:id="43" w:name="Annex05"/>
      <w:bookmarkEnd w:id="43"/>
      <w:r>
        <w:rPr/>
        <w:t>Příloha č. 3 </w:t>
      </w:r>
    </w:p>
    <w:p>
      <w:pPr>
        <w:pStyle w:val="RLProhlensmluvnchstran"/>
        <w:rPr>
          <w:b w:val="false"/>
          <w:b w:val="false"/>
          <w:lang w:eastAsia="en-US"/>
        </w:rPr>
      </w:pPr>
      <w:r>
        <w:rPr/>
        <w:t>Cena</w:t>
      </w:r>
    </w:p>
    <w:p>
      <w:pPr>
        <w:pStyle w:val="Normal"/>
        <w:rPr>
          <w:b/>
          <w:b/>
          <w:sz w:val="24"/>
        </w:rPr>
      </w:pPr>
      <w:r>
        <w:rPr>
          <w:b/>
          <w:sz w:val="24"/>
        </w:rPr>
      </w:r>
    </w:p>
    <w:tbl>
      <w:tblPr>
        <w:tblStyle w:val="Svtltabulkasmkou1zvraznn11"/>
        <w:tblW w:w="5000" w:type="pct"/>
        <w:jc w:val="left"/>
        <w:tblInd w:w="0" w:type="dxa"/>
        <w:tblLayout w:type="fixed"/>
        <w:tblCellMar>
          <w:top w:w="0" w:type="dxa"/>
          <w:left w:w="108" w:type="dxa"/>
          <w:bottom w:w="0" w:type="dxa"/>
          <w:right w:w="108" w:type="dxa"/>
        </w:tblCellMar>
        <w:tblLook w:firstRow="1" w:noVBand="1" w:lastRow="0" w:firstColumn="0" w:lastColumn="0" w:noHBand="0" w:val="0420"/>
      </w:tblPr>
      <w:tblGrid>
        <w:gridCol w:w="3023"/>
        <w:gridCol w:w="3024"/>
        <w:gridCol w:w="3023"/>
      </w:tblGrid>
      <w:tr>
        <w:trPr>
          <w:cnfStyle w:val="100000000000" w:firstRow="1" w:lastRow="0" w:firstColumn="0" w:lastColumn="0" w:oddVBand="0" w:evenVBand="0" w:oddHBand="0" w:evenHBand="0" w:firstRowFirstColumn="0" w:firstRowLastColumn="0" w:lastRowFirstColumn="0" w:lastRowLastColumn="0"/>
        </w:trPr>
        <w:tc>
          <w:tcPr>
            <w:tcW w:w="3023" w:type="dxa"/>
            <w:tcBorders>
              <w:bottom w:val="single" w:sz="12" w:space="0" w:color="95B3D7"/>
            </w:tcBorders>
          </w:tcPr>
          <w:p>
            <w:pPr>
              <w:pStyle w:val="Normal"/>
              <w:widowControl/>
              <w:spacing w:before="0" w:after="120"/>
              <w:jc w:val="left"/>
              <w:rPr>
                <w:lang w:eastAsia="en-US"/>
              </w:rPr>
            </w:pPr>
            <w:r>
              <w:rPr>
                <w:rFonts w:eastAsia="Times New Roman" w:cs="Times New Roman"/>
                <w:b/>
                <w:bCs/>
                <w:kern w:val="0"/>
                <w:lang w:val="cs-CZ" w:eastAsia="en-US" w:bidi="ar-SA"/>
              </w:rPr>
              <w:t>Položka</w:t>
            </w:r>
          </w:p>
        </w:tc>
        <w:tc>
          <w:tcPr>
            <w:tcW w:w="3024" w:type="dxa"/>
            <w:tcBorders>
              <w:bottom w:val="single" w:sz="12" w:space="0" w:color="95B3D7"/>
            </w:tcBorders>
          </w:tcPr>
          <w:p>
            <w:pPr>
              <w:pStyle w:val="Normal"/>
              <w:widowControl/>
              <w:spacing w:before="0" w:after="120"/>
              <w:jc w:val="left"/>
              <w:rPr>
                <w:lang w:eastAsia="en-US"/>
              </w:rPr>
            </w:pPr>
            <w:r>
              <w:rPr>
                <w:rFonts w:eastAsia="Times New Roman" w:cs="Times New Roman"/>
                <w:b/>
                <w:bCs/>
                <w:kern w:val="0"/>
                <w:lang w:val="cs-CZ" w:eastAsia="en-US" w:bidi="ar-SA"/>
              </w:rPr>
              <w:t>Cena Kč bez DPH</w:t>
            </w:r>
          </w:p>
        </w:tc>
        <w:tc>
          <w:tcPr>
            <w:tcW w:w="3023" w:type="dxa"/>
            <w:tcBorders>
              <w:bottom w:val="single" w:sz="12" w:space="0" w:color="95B3D7"/>
            </w:tcBorders>
          </w:tcPr>
          <w:p>
            <w:pPr>
              <w:pStyle w:val="Normal"/>
              <w:widowControl/>
              <w:spacing w:before="0" w:after="120"/>
              <w:jc w:val="left"/>
              <w:rPr>
                <w:lang w:eastAsia="en-US"/>
              </w:rPr>
            </w:pPr>
            <w:r>
              <w:rPr>
                <w:rFonts w:eastAsia="Times New Roman" w:cs="Times New Roman"/>
                <w:b/>
                <w:bCs/>
                <w:kern w:val="0"/>
                <w:lang w:val="cs-CZ" w:eastAsia="en-US" w:bidi="ar-SA"/>
              </w:rPr>
              <w:t>Cena Kč s DPH</w:t>
            </w:r>
          </w:p>
        </w:tc>
      </w:tr>
      <w:tr>
        <w:trPr/>
        <w:tc>
          <w:tcPr>
            <w:tcW w:w="3023" w:type="dxa"/>
            <w:tcBorders/>
          </w:tcPr>
          <w:p>
            <w:pPr>
              <w:pStyle w:val="Normal"/>
              <w:widowControl/>
              <w:spacing w:before="0" w:after="120"/>
              <w:jc w:val="left"/>
              <w:rPr>
                <w:lang w:eastAsia="en-US"/>
              </w:rPr>
            </w:pPr>
            <w:r>
              <w:rPr>
                <w:rFonts w:eastAsia="Times New Roman" w:cs="Times New Roman"/>
                <w:kern w:val="0"/>
                <w:lang w:val="cs-CZ" w:eastAsia="en-US" w:bidi="ar-SA"/>
              </w:rPr>
              <w:t xml:space="preserve">Základní Technická podpora </w:t>
              <w:br/>
              <w:t>(za 1 rok)</w:t>
            </w:r>
          </w:p>
        </w:tc>
        <w:tc>
          <w:tcPr>
            <w:tcW w:w="3024" w:type="dxa"/>
            <w:tcBorders/>
            <w:vAlign w:val="center"/>
          </w:tcPr>
          <w:p>
            <w:pPr>
              <w:pStyle w:val="Normal"/>
              <w:widowControl/>
              <w:spacing w:before="0" w:after="120"/>
              <w:jc w:val="right"/>
              <w:rPr>
                <w:lang w:eastAsia="en-US"/>
              </w:rPr>
            </w:pPr>
            <w:r>
              <w:rPr>
                <w:rFonts w:eastAsia="Times New Roman" w:cs="Times New Roman"/>
                <w:kern w:val="0"/>
                <w:lang w:val="cs-CZ" w:bidi="ar-SA"/>
              </w:rPr>
            </w:r>
          </w:p>
        </w:tc>
        <w:tc>
          <w:tcPr>
            <w:tcW w:w="3023" w:type="dxa"/>
            <w:tcBorders/>
            <w:vAlign w:val="center"/>
          </w:tcPr>
          <w:p>
            <w:pPr>
              <w:pStyle w:val="Normal"/>
              <w:widowControl/>
              <w:spacing w:before="0" w:after="120"/>
              <w:jc w:val="right"/>
              <w:rPr>
                <w:lang w:eastAsia="en-US"/>
              </w:rPr>
            </w:pPr>
            <w:r>
              <w:rPr>
                <w:rFonts w:eastAsia="Times New Roman" w:cs="Times New Roman"/>
                <w:kern w:val="0"/>
                <w:lang w:val="cs-CZ" w:bidi="ar-SA"/>
              </w:rPr>
            </w:r>
          </w:p>
        </w:tc>
      </w:tr>
      <w:tr>
        <w:trPr/>
        <w:tc>
          <w:tcPr>
            <w:tcW w:w="3023" w:type="dxa"/>
            <w:tcBorders/>
          </w:tcPr>
          <w:p>
            <w:pPr>
              <w:pStyle w:val="Normal"/>
              <w:widowControl/>
              <w:spacing w:before="0" w:after="120"/>
              <w:jc w:val="left"/>
              <w:rPr>
                <w:lang w:eastAsia="en-US"/>
              </w:rPr>
            </w:pPr>
            <w:bookmarkStart w:id="44" w:name="Annex06"/>
            <w:bookmarkEnd w:id="44"/>
            <w:r>
              <w:rPr>
                <w:rFonts w:eastAsia="Times New Roman" w:cs="Times New Roman"/>
                <w:kern w:val="0"/>
                <w:lang w:val="cs-CZ" w:eastAsia="en-US" w:bidi="ar-SA"/>
              </w:rPr>
              <w:t xml:space="preserve">Rozšířená Technická podpora </w:t>
              <w:br/>
              <w:t>(za 1 rok)</w:t>
            </w:r>
          </w:p>
        </w:tc>
        <w:tc>
          <w:tcPr>
            <w:tcW w:w="3024" w:type="dxa"/>
            <w:tcBorders/>
            <w:vAlign w:val="center"/>
          </w:tcPr>
          <w:p>
            <w:pPr>
              <w:pStyle w:val="Normal"/>
              <w:widowControl/>
              <w:spacing w:before="0" w:after="120"/>
              <w:jc w:val="right"/>
              <w:rPr>
                <w:lang w:eastAsia="en-US"/>
              </w:rPr>
            </w:pPr>
            <w:r>
              <w:rPr>
                <w:rFonts w:eastAsia="Times New Roman" w:cs="Times New Roman"/>
                <w:kern w:val="0"/>
                <w:lang w:val="cs-CZ" w:bidi="ar-SA"/>
              </w:rPr>
            </w:r>
          </w:p>
        </w:tc>
        <w:tc>
          <w:tcPr>
            <w:tcW w:w="3023" w:type="dxa"/>
            <w:tcBorders/>
            <w:vAlign w:val="center"/>
          </w:tcPr>
          <w:p>
            <w:pPr>
              <w:pStyle w:val="Normal"/>
              <w:widowControl/>
              <w:spacing w:before="0" w:after="120"/>
              <w:jc w:val="right"/>
              <w:rPr>
                <w:lang w:eastAsia="en-US"/>
              </w:rPr>
            </w:pPr>
            <w:r>
              <w:rPr>
                <w:rFonts w:eastAsia="Times New Roman" w:cs="Times New Roman"/>
                <w:kern w:val="0"/>
                <w:lang w:val="cs-CZ" w:bidi="ar-SA"/>
              </w:rPr>
            </w:r>
          </w:p>
        </w:tc>
      </w:tr>
    </w:tbl>
    <w:p>
      <w:pPr>
        <w:sectPr>
          <w:headerReference w:type="default" r:id="rId12"/>
          <w:footerReference w:type="default" r:id="rId13"/>
          <w:footnotePr>
            <w:numFmt w:val="decimal"/>
          </w:footnotePr>
          <w:type w:val="nextPage"/>
          <w:pgSz w:w="11906" w:h="16838"/>
          <w:pgMar w:left="1418" w:right="1418" w:gutter="0" w:header="709" w:top="1418" w:footer="709" w:bottom="1418"/>
          <w:pgNumType w:start="1" w:fmt="decimal"/>
          <w:formProt w:val="false"/>
          <w:textDirection w:val="lrTb"/>
          <w:docGrid w:type="default" w:linePitch="360" w:charSpace="0"/>
        </w:sectPr>
      </w:pPr>
    </w:p>
    <w:p>
      <w:pPr>
        <w:pStyle w:val="Normal"/>
        <w:spacing w:lineRule="auto" w:line="240" w:before="0" w:after="0"/>
        <w:rPr>
          <w:lang w:eastAsia="en-US"/>
        </w:rPr>
      </w:pPr>
      <w:r>
        <w:rPr>
          <w:lang w:eastAsia="en-US"/>
        </w:rPr>
      </w:r>
    </w:p>
    <w:p>
      <w:pPr>
        <w:pStyle w:val="Normal"/>
        <w:jc w:val="center"/>
        <w:rPr>
          <w:b/>
          <w:b/>
        </w:rPr>
      </w:pPr>
      <w:r>
        <w:rPr>
          <w:b/>
        </w:rPr>
        <w:t>Příloha č. 4</w:t>
      </w:r>
    </w:p>
    <w:p>
      <w:pPr>
        <w:pStyle w:val="RLProhlensmluvnchstran"/>
        <w:rPr>
          <w:b/>
          <w:b/>
        </w:rPr>
      </w:pPr>
      <w:r>
        <w:rPr/>
        <w:t> </w:t>
      </w:r>
      <w:r>
        <w:rPr/>
        <w:t>Dostupná rozhraní Software Poskytovatele</w:t>
      </w:r>
    </w:p>
    <w:p>
      <w:pPr>
        <w:pStyle w:val="Normal"/>
        <w:rPr>
          <w:b/>
          <w:b/>
          <w:sz w:val="24"/>
        </w:rPr>
      </w:pPr>
      <w:r>
        <w:rPr>
          <w:b/>
          <w:sz w:val="24"/>
        </w:rPr>
      </w:r>
    </w:p>
    <w:p>
      <w:pPr>
        <w:pStyle w:val="Normal"/>
        <w:rPr>
          <w:bCs/>
        </w:rPr>
      </w:pPr>
      <w:r>
        <w:rPr>
          <w:bCs/>
        </w:rPr>
        <w:t>Software Poskytovatele disponuje on-line nebo off-line rozhraními, která jsou využívána pro integraci agend provozovaných úřadem v rámci IS VERA Radnice a agend dodaných třetí stranou. Přehled těchto rozhraní je uveden v následující tabulce:</w:t>
      </w:r>
    </w:p>
    <w:p>
      <w:pPr>
        <w:pStyle w:val="Normal"/>
        <w:rPr>
          <w:b/>
          <w:b/>
        </w:rPr>
      </w:pPr>
      <w:r>
        <w:rPr/>
      </w:r>
    </w:p>
    <w:tbl>
      <w:tblPr>
        <w:tblW w:w="4678" w:type="dxa"/>
        <w:jc w:val="left"/>
        <w:tblInd w:w="0" w:type="dxa"/>
        <w:tblLayout w:type="fixed"/>
        <w:tblCellMar>
          <w:top w:w="0" w:type="dxa"/>
          <w:left w:w="70" w:type="dxa"/>
          <w:bottom w:w="0" w:type="dxa"/>
          <w:right w:w="70" w:type="dxa"/>
        </w:tblCellMar>
        <w:tblLook w:firstRow="1" w:noVBand="1" w:lastRow="0" w:firstColumn="1" w:lastColumn="0" w:noHBand="0" w:val="04a0"/>
      </w:tblPr>
      <w:tblGrid>
        <w:gridCol w:w="636"/>
        <w:gridCol w:w="4041"/>
      </w:tblGrid>
      <w:tr>
        <w:trPr>
          <w:trHeight w:val="264" w:hRule="atLeast"/>
        </w:trPr>
        <w:tc>
          <w:tcPr>
            <w:tcW w:w="4677" w:type="dxa"/>
            <w:gridSpan w:val="2"/>
            <w:tcBorders>
              <w:top w:val="single" w:sz="8" w:space="0" w:color="000000"/>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b/>
                <w:b/>
                <w:bCs/>
                <w:sz w:val="18"/>
                <w:szCs w:val="18"/>
              </w:rPr>
            </w:pPr>
            <w:r>
              <w:rPr>
                <w:rFonts w:cs="Arial CE" w:ascii="Arial CE" w:hAnsi="Arial CE"/>
                <w:b/>
                <w:bCs/>
                <w:sz w:val="18"/>
                <w:szCs w:val="18"/>
              </w:rPr>
              <w:t>Přehled dostupných rozhraní (označení + popis)</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RIPD</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Rozhraní Příjmy</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RIPV</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Rozhraní Výdaje</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RIKA</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Rozhraní Pokladní automat</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RIKP</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Rozhraní Pokladna</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RIQR</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Rozhraní VERA - UO</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RIUD</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Rozhraní Úřední deska</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RI2S</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Rozhraní II Ext. AIS - SSL VERA (base)</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cs="Arial CE"/>
                <w:sz w:val="18"/>
                <w:szCs w:val="18"/>
              </w:rPr>
            </w:pPr>
            <w:r>
              <w:rPr>
                <w:rFonts w:cs="Arial CE" w:ascii="Arial CE" w:hAnsi="Arial CE"/>
                <w:sz w:val="18"/>
                <w:szCs w:val="18"/>
              </w:rPr>
              <w:t>RE2E</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cs="Arial CE"/>
                <w:sz w:val="18"/>
                <w:szCs w:val="18"/>
              </w:rPr>
            </w:pPr>
            <w:r>
              <w:rPr>
                <w:rFonts w:cs="Arial CE" w:ascii="Arial CE" w:hAnsi="Arial CE"/>
                <w:sz w:val="18"/>
                <w:szCs w:val="18"/>
              </w:rPr>
              <w:t>Rozhraní II AIS VERA - SSL (NS)</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RIVR</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Rozhraní - Registry</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RIKS</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Rozhraní - Smlouvy</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PV-O</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Výdaje - rozhraní Portál občana</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KD-O</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Objednávky - rozhraní Portál občana</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RIPS</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Rozhraní - Evidence psů</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RIPJ</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18"/>
                <w:szCs w:val="18"/>
              </w:rPr>
            </w:pPr>
            <w:r>
              <w:rPr>
                <w:rFonts w:cs="Arial CE" w:ascii="Arial CE" w:hAnsi="Arial CE"/>
                <w:sz w:val="18"/>
                <w:szCs w:val="18"/>
              </w:rPr>
              <w:t>Rozhraní - Komunální odpad</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20"/>
                <w:szCs w:val="20"/>
              </w:rPr>
            </w:pPr>
            <w:r>
              <w:rPr>
                <w:rFonts w:cs="Arial CE" w:ascii="Arial CE" w:hAnsi="Arial CE"/>
                <w:sz w:val="18"/>
                <w:szCs w:val="18"/>
              </w:rPr>
              <w:t>JSR</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eastAsia="Calibri" w:cs="Arial CE" w:eastAsiaTheme="minorHAnsi"/>
                <w:sz w:val="20"/>
                <w:szCs w:val="20"/>
              </w:rPr>
            </w:pPr>
            <w:r>
              <w:rPr>
                <w:rFonts w:cs="Arial CE" w:ascii="Arial CE" w:hAnsi="Arial CE"/>
                <w:sz w:val="18"/>
                <w:szCs w:val="18"/>
              </w:rPr>
              <w:t>Rozhraní JOS a jiných systémů (např. IDM)</w:t>
            </w:r>
          </w:p>
        </w:tc>
      </w:tr>
      <w:tr>
        <w:trPr>
          <w:trHeight w:val="264" w:hRule="atLeast"/>
        </w:trPr>
        <w:tc>
          <w:tcPr>
            <w:tcW w:w="636" w:type="dxa"/>
            <w:tcBorders>
              <w:left w:val="single" w:sz="8" w:space="0" w:color="000000"/>
              <w:bottom w:val="single" w:sz="8" w:space="0" w:color="000000"/>
              <w:right w:val="single" w:sz="8" w:space="0" w:color="000000"/>
            </w:tcBorders>
            <w:vAlign w:val="bottom"/>
          </w:tcPr>
          <w:p>
            <w:pPr>
              <w:pStyle w:val="Normal"/>
              <w:widowControl w:val="false"/>
              <w:spacing w:before="0" w:after="120"/>
              <w:rPr>
                <w:rFonts w:ascii="Arial CE" w:hAnsi="Arial CE" w:cs="Arial CE"/>
                <w:sz w:val="18"/>
                <w:szCs w:val="18"/>
              </w:rPr>
            </w:pPr>
            <w:r>
              <w:rPr>
                <w:rFonts w:cs="Arial CE" w:ascii="Arial CE" w:hAnsi="Arial CE"/>
                <w:sz w:val="18"/>
                <w:szCs w:val="18"/>
              </w:rPr>
              <w:t>JSL</w:t>
            </w:r>
          </w:p>
        </w:tc>
        <w:tc>
          <w:tcPr>
            <w:tcW w:w="4041" w:type="dxa"/>
            <w:tcBorders>
              <w:bottom w:val="single" w:sz="8" w:space="0" w:color="000000"/>
              <w:right w:val="single" w:sz="8" w:space="0" w:color="000000"/>
            </w:tcBorders>
            <w:vAlign w:val="bottom"/>
          </w:tcPr>
          <w:p>
            <w:pPr>
              <w:pStyle w:val="Normal"/>
              <w:widowControl w:val="false"/>
              <w:spacing w:before="0" w:after="120"/>
              <w:rPr>
                <w:rFonts w:ascii="Arial CE" w:hAnsi="Arial CE" w:cs="Arial CE"/>
                <w:sz w:val="18"/>
                <w:szCs w:val="18"/>
              </w:rPr>
            </w:pPr>
            <w:r>
              <w:rPr>
                <w:rFonts w:cs="Arial CE" w:ascii="Arial CE" w:hAnsi="Arial CE"/>
                <w:sz w:val="18"/>
                <w:szCs w:val="18"/>
              </w:rPr>
              <w:t>JOS - Synchronizace -&gt; LDAP</w:t>
            </w:r>
          </w:p>
        </w:tc>
      </w:tr>
    </w:tbl>
    <w:p>
      <w:pPr>
        <w:pStyle w:val="Normal"/>
        <w:rPr>
          <w:rFonts w:eastAsia="Calibri" w:cs="Calibri" w:eastAsiaTheme="minorHAnsi"/>
          <w:szCs w:val="22"/>
          <w:lang w:eastAsia="en-US"/>
        </w:rPr>
      </w:pPr>
      <w:r>
        <w:rPr>
          <w:rFonts w:eastAsia="Calibri" w:cs="Calibri" w:eastAsiaTheme="minorHAnsi"/>
          <w:szCs w:val="22"/>
          <w:lang w:eastAsia="en-US"/>
        </w:rPr>
      </w:r>
    </w:p>
    <w:p>
      <w:pPr>
        <w:sectPr>
          <w:headerReference w:type="default" r:id="rId14"/>
          <w:footerReference w:type="default" r:id="rId15"/>
          <w:footnotePr>
            <w:numFmt w:val="decimal"/>
          </w:footnotePr>
          <w:type w:val="nextPage"/>
          <w:pgSz w:w="11906" w:h="16838"/>
          <w:pgMar w:left="1418" w:right="1418" w:gutter="0" w:header="709" w:top="1418" w:footer="709" w:bottom="1418"/>
          <w:pgNumType w:start="1" w:fmt="decimal"/>
          <w:formProt w:val="false"/>
          <w:textDirection w:val="lrTb"/>
          <w:docGrid w:type="default" w:linePitch="360" w:charSpace="0"/>
        </w:sectPr>
        <w:pStyle w:val="Normal"/>
        <w:rPr>
          <w:bCs/>
        </w:rPr>
      </w:pPr>
      <w:r>
        <w:rPr>
          <w:rFonts w:eastAsia="Calibri" w:cs="Calibri" w:eastAsiaTheme="minorHAnsi"/>
          <w:szCs w:val="22"/>
          <w:lang w:eastAsia="en-US"/>
        </w:rPr>
        <w:t xml:space="preserve">Výše vypsaná rozhraní reálně fungují na mnoha instalacích a jsou za úplatu k dispozici i všem dalším zákazníkům. Případná nová rozhraní </w:t>
      </w:r>
      <w:r>
        <w:rPr>
          <w:bCs/>
        </w:rPr>
        <w:t>vznikají vždy dle potřeb konkrétního projektu, a to na základě datové analýzy a dle popisu potřeb ze strany zákazníka (datové pumpy pro prezentaci dat v různých agendách, webové služby sloužící podobnému účelu atd.).</w:t>
      </w:r>
      <w:r>
        <w:br w:type="page"/>
      </w:r>
    </w:p>
    <w:p>
      <w:pPr>
        <w:pStyle w:val="Normal"/>
        <w:tabs>
          <w:tab w:val="clear" w:pos="708"/>
          <w:tab w:val="left" w:pos="8295" w:leader="none"/>
        </w:tabs>
        <w:spacing w:lineRule="auto" w:line="240" w:before="0" w:after="0"/>
        <w:rPr>
          <w:bCs/>
        </w:rPr>
      </w:pPr>
      <w:r>
        <w:rPr>
          <w:bCs/>
        </w:rPr>
        <w:tab/>
      </w:r>
    </w:p>
    <w:p>
      <w:pPr>
        <w:pStyle w:val="Normal"/>
        <w:jc w:val="center"/>
        <w:rPr>
          <w:b/>
          <w:b/>
        </w:rPr>
      </w:pPr>
      <w:r>
        <w:rPr>
          <w:b/>
        </w:rPr>
        <w:t>Příloha č. 5</w:t>
      </w:r>
    </w:p>
    <w:p>
      <w:pPr>
        <w:pStyle w:val="RLProhlensmluvnchstran"/>
        <w:rPr>
          <w:bCs/>
        </w:rPr>
      </w:pPr>
      <w:r>
        <w:rPr/>
        <w:t>Obchodní podmínky pro Smlouvu o poskytování technické podpory a dalších služeb</w:t>
      </w:r>
    </w:p>
    <w:p>
      <w:pPr>
        <w:pStyle w:val="RLdajeosmluvnstran"/>
        <w:rPr>
          <w:rFonts w:cs="Arial"/>
          <w:b/>
          <w:b/>
          <w:bCs/>
          <w:caps/>
          <w:spacing w:val="40"/>
          <w:kern w:val="2"/>
          <w:sz w:val="32"/>
          <w:szCs w:val="32"/>
          <w:lang w:eastAsia="cs-CZ"/>
        </w:rPr>
      </w:pPr>
      <w:r>
        <w:rPr>
          <w:rFonts w:cs="Arial"/>
          <w:b/>
          <w:bCs/>
          <w:caps/>
          <w:spacing w:val="40"/>
          <w:kern w:val="2"/>
          <w:sz w:val="32"/>
          <w:szCs w:val="32"/>
          <w:lang w:eastAsia="cs-CZ"/>
        </w:rPr>
      </w:r>
    </w:p>
    <w:p>
      <w:pPr>
        <w:pStyle w:val="RLlneksmlouvy"/>
        <w:numPr>
          <w:ilvl w:val="0"/>
          <w:numId w:val="7"/>
        </w:numPr>
        <w:rPr>
          <w:bCs/>
        </w:rPr>
      </w:pPr>
      <w:r>
        <w:rPr/>
        <w:t>ÚVODNÍ USTANOVENÍ</w:t>
      </w:r>
    </w:p>
    <w:p>
      <w:pPr>
        <w:pStyle w:val="RLTextlnkuslovan"/>
        <w:numPr>
          <w:ilvl w:val="1"/>
          <w:numId w:val="1"/>
        </w:numPr>
        <w:rPr>
          <w:bCs/>
        </w:rPr>
      </w:pPr>
      <w:r>
        <w:rPr/>
        <w:t>Těmito obchodními podmínkami (dále jen „</w:t>
      </w:r>
      <w:r>
        <w:rPr>
          <w:b/>
        </w:rPr>
        <w:t>Podmínky</w:t>
      </w:r>
      <w:r>
        <w:rPr/>
        <w:t>“) se řídí veškeré smlouvy o dodání software a poskytnutí licence a dalších služeb ze strany VERA, spol. s r.o., se sídlem Praha 6 - Vokovice, Lužná 716/2, IČ 62587978, společnost zapsaná v obchodním rejstříku vedeném Městským soudem v Praze, oddíl C, vložka 34140 (dále jen „</w:t>
      </w:r>
      <w:r>
        <w:rPr>
          <w:b/>
        </w:rPr>
        <w:t>Poskytovatel</w:t>
      </w:r>
      <w:r>
        <w:rPr/>
        <w:t>“).</w:t>
      </w:r>
    </w:p>
    <w:p>
      <w:pPr>
        <w:pStyle w:val="RLTextlnkuslovan"/>
        <w:numPr>
          <w:ilvl w:val="1"/>
          <w:numId w:val="1"/>
        </w:numPr>
        <w:rPr>
          <w:bCs/>
        </w:rPr>
      </w:pPr>
      <w:r>
        <w:rPr/>
        <w:t>„</w:t>
      </w:r>
      <w:r>
        <w:rPr>
          <w:b/>
        </w:rPr>
        <w:t>Nabyvatelem</w:t>
      </w:r>
      <w:r>
        <w:rPr/>
        <w:t>“ se dále rozumí nabyvatel software a licence k němu či služeb Poskytovatele.</w:t>
      </w:r>
    </w:p>
    <w:p>
      <w:pPr>
        <w:pStyle w:val="RLTextlnkuslovan"/>
        <w:numPr>
          <w:ilvl w:val="1"/>
          <w:numId w:val="1"/>
        </w:numPr>
        <w:rPr>
          <w:lang w:eastAsia="en-US"/>
        </w:rPr>
      </w:pPr>
      <w:r>
        <w:rPr>
          <w:lang w:eastAsia="en-US"/>
        </w:rPr>
        <w:t>„</w:t>
      </w:r>
      <w:r>
        <w:rPr>
          <w:b/>
          <w:lang w:eastAsia="en-US"/>
        </w:rPr>
        <w:t>Pracovní dobou</w:t>
      </w:r>
      <w:r>
        <w:rPr>
          <w:lang w:eastAsia="en-US"/>
        </w:rPr>
        <w:t>“ se rozumí doba v pracovní dny od 8 do 16 hodin.</w:t>
      </w:r>
    </w:p>
    <w:p>
      <w:pPr>
        <w:pStyle w:val="RLTextlnkuslovan"/>
        <w:numPr>
          <w:ilvl w:val="1"/>
          <w:numId w:val="1"/>
        </w:numPr>
        <w:rPr>
          <w:lang w:eastAsia="en-US"/>
        </w:rPr>
      </w:pPr>
      <w:r>
        <w:rPr/>
        <w:t>Tyto Podmínky představují součást jakékoli smlouvy o dodání software a poskytnutí licence a dalších služeb ze strany Poskytovatele (dále jen „</w:t>
      </w:r>
      <w:r>
        <w:rPr>
          <w:b/>
        </w:rPr>
        <w:t>Smlouva</w:t>
      </w:r>
      <w:r>
        <w:rPr/>
        <w:t>“).</w:t>
      </w:r>
      <w:r>
        <w:rPr>
          <w:lang w:eastAsia="en-US"/>
        </w:rPr>
        <w:t xml:space="preserve"> V případě kolize ustanovení Smlouvy a Podmínek mají ustanovení Smlouvy přednost.</w:t>
      </w:r>
    </w:p>
    <w:p>
      <w:pPr>
        <w:pStyle w:val="RLTextlnkuslovan"/>
        <w:numPr>
          <w:ilvl w:val="1"/>
          <w:numId w:val="1"/>
        </w:numPr>
        <w:rPr>
          <w:lang w:eastAsia="en-US"/>
        </w:rPr>
      </w:pPr>
      <w:r>
        <w:rPr>
          <w:lang w:eastAsia="en-US"/>
        </w:rPr>
        <w:t>V Podmínkách použité pojmy a definice označené velkým počátečním písmenem mají příslušný význam uvedený ve Smlouvě nebo v Podmínkách.</w:t>
      </w:r>
    </w:p>
    <w:p>
      <w:pPr>
        <w:pStyle w:val="RLTextlnkuslovan"/>
        <w:numPr>
          <w:ilvl w:val="1"/>
          <w:numId w:val="1"/>
        </w:numPr>
        <w:rPr>
          <w:lang w:eastAsia="en-US"/>
        </w:rPr>
      </w:pPr>
      <w:r>
        <w:rPr>
          <w:lang w:eastAsia="en-US"/>
        </w:rPr>
        <w:t xml:space="preserve">Ustanovení článků </w:t>
      </w:r>
      <w:r>
        <w:rPr>
          <w:lang w:eastAsia="en-US"/>
        </w:rPr>
        <w:fldChar w:fldCharType="begin"/>
      </w:r>
      <w:r>
        <w:rPr>
          <w:lang w:eastAsia="en-US"/>
        </w:rPr>
        <w:instrText xml:space="preserve"> REF _Ref482749672 \r \h </w:instrText>
      </w:r>
      <w:r>
        <w:rPr>
          <w:lang w:eastAsia="en-US"/>
        </w:rPr>
        <w:fldChar w:fldCharType="separate"/>
      </w:r>
      <w:r>
        <w:rPr>
          <w:lang w:eastAsia="en-US"/>
        </w:rPr>
        <w:t>2.</w:t>
      </w:r>
      <w:r>
        <w:rPr>
          <w:lang w:eastAsia="en-US"/>
        </w:rPr>
        <w:fldChar w:fldCharType="end"/>
      </w:r>
      <w:r>
        <w:rPr>
          <w:lang w:eastAsia="en-US"/>
        </w:rPr>
        <w:t xml:space="preserve"> až 6 se použijí v případě, že je mezi Poskytovatelem a Nabyvatelem dodání software, licence, technické podpory či služby sjednáno ve Smlouvě. </w:t>
      </w:r>
    </w:p>
    <w:p>
      <w:pPr>
        <w:pStyle w:val="RLlneksmlouvy"/>
        <w:numPr>
          <w:ilvl w:val="0"/>
          <w:numId w:val="1"/>
        </w:numPr>
        <w:rPr>
          <w:bCs/>
        </w:rPr>
      </w:pPr>
      <w:bookmarkStart w:id="45" w:name="_Ref482749672"/>
      <w:r>
        <w:rPr/>
        <w:t>POVINNOSTI NABYVATELE</w:t>
      </w:r>
    </w:p>
    <w:p>
      <w:pPr>
        <w:pStyle w:val="RLTextlnkuslovan"/>
        <w:numPr>
          <w:ilvl w:val="1"/>
          <w:numId w:val="1"/>
        </w:numPr>
        <w:rPr>
          <w:lang w:eastAsia="en-US"/>
        </w:rPr>
      </w:pPr>
      <w:r>
        <w:rPr>
          <w:lang w:eastAsia="en-US"/>
        </w:rPr>
        <w:t>Nabyvatel se zavazuje:</w:t>
      </w:r>
    </w:p>
    <w:p>
      <w:pPr>
        <w:pStyle w:val="RLTextlnkuslovan"/>
        <w:numPr>
          <w:ilvl w:val="2"/>
          <w:numId w:val="1"/>
        </w:numPr>
        <w:rPr>
          <w:lang w:eastAsia="en-US"/>
        </w:rPr>
      </w:pPr>
      <w:bookmarkStart w:id="46" w:name="_Ref482755881"/>
      <w:r>
        <w:rPr>
          <w:lang w:eastAsia="en-US"/>
        </w:rPr>
        <w:t>zabezpečit pro software odpovídající provozní prostředí specifikované v Technické specifikaci,</w:t>
      </w:r>
      <w:bookmarkEnd w:id="46"/>
      <w:r>
        <w:rPr>
          <w:lang w:eastAsia="en-US"/>
        </w:rPr>
        <w:t xml:space="preserve"> </w:t>
      </w:r>
    </w:p>
    <w:p>
      <w:pPr>
        <w:pStyle w:val="RLTextlnkuslovan"/>
        <w:numPr>
          <w:ilvl w:val="2"/>
          <w:numId w:val="1"/>
        </w:numPr>
        <w:rPr>
          <w:lang w:eastAsia="en-US"/>
        </w:rPr>
      </w:pPr>
      <w:r>
        <w:rPr>
          <w:lang w:eastAsia="en-US"/>
        </w:rPr>
        <w:t>zajistit předání dokumentace, informací, dat nezbytných k plnění předmětu Smlouvy,</w:t>
      </w:r>
    </w:p>
    <w:p>
      <w:pPr>
        <w:pStyle w:val="RLTextlnkuslovan"/>
        <w:numPr>
          <w:ilvl w:val="2"/>
          <w:numId w:val="1"/>
        </w:numPr>
        <w:rPr>
          <w:lang w:eastAsia="en-US"/>
        </w:rPr>
      </w:pPr>
      <w:r>
        <w:rPr>
          <w:lang w:eastAsia="en-US"/>
        </w:rPr>
        <w:t>umožnit zaměstnancům Poskytovatele vstup na pracoviště Nabyvatele v individuálně předem sjednaných termínech,</w:t>
      </w:r>
    </w:p>
    <w:p>
      <w:pPr>
        <w:pStyle w:val="RLTextlnkuslovan"/>
        <w:numPr>
          <w:ilvl w:val="2"/>
          <w:numId w:val="1"/>
        </w:numPr>
        <w:rPr>
          <w:lang w:eastAsia="en-US"/>
        </w:rPr>
      </w:pPr>
      <w:r>
        <w:rPr>
          <w:lang w:eastAsia="en-US"/>
        </w:rPr>
        <w:t>poskytnout Poskytovateli součinnost nezbytnou pro plnění dle Smlouvy (např. při instalaci Software, analýze, testování, a/nebo migraci). V případě neposkytnutí součinnosti platí, že Poskytovatel je oprávněn odpovídajícím způsobem aktualizovat termíny,</w:t>
      </w:r>
    </w:p>
    <w:p>
      <w:pPr>
        <w:pStyle w:val="RLTextlnkuslovan"/>
        <w:numPr>
          <w:ilvl w:val="2"/>
          <w:numId w:val="1"/>
        </w:numPr>
        <w:rPr>
          <w:lang w:eastAsia="en-US"/>
        </w:rPr>
      </w:pPr>
      <w:r>
        <w:rPr>
          <w:lang w:eastAsia="en-US"/>
        </w:rPr>
        <w:t>zajistit přítomnost pověřených osob Nabyvatelem, pokud je to vyžadováno Poskytovatelem, a to i po pracovní době, pokud je to nezbytné k plnění předmětu Smlouvy,</w:t>
      </w:r>
    </w:p>
    <w:p>
      <w:pPr>
        <w:pStyle w:val="RLTextlnkuslovan"/>
        <w:numPr>
          <w:ilvl w:val="2"/>
          <w:numId w:val="1"/>
        </w:numPr>
        <w:rPr>
          <w:lang w:eastAsia="en-US"/>
        </w:rPr>
      </w:pPr>
      <w:r>
        <w:rPr>
          <w:lang w:eastAsia="en-US"/>
        </w:rPr>
        <w:t>určit osobu, která bude zajišťovat chod Software jako jeho správce, případně správce jednotlivých agend,</w:t>
      </w:r>
    </w:p>
    <w:p>
      <w:pPr>
        <w:pStyle w:val="RLTextlnkuslovan"/>
        <w:numPr>
          <w:ilvl w:val="2"/>
          <w:numId w:val="1"/>
        </w:numPr>
        <w:rPr>
          <w:lang w:eastAsia="en-US"/>
        </w:rPr>
      </w:pPr>
      <w:r>
        <w:rPr>
          <w:lang w:eastAsia="en-US"/>
        </w:rPr>
        <w:t>v nezbytném rozsahu předávat Poskytovateli věci a informace, které Poskytovatel potřebuje ke splnění svých závazků ze Smlouvy, a to v předem dohodnutých termínech,</w:t>
      </w:r>
    </w:p>
    <w:p>
      <w:pPr>
        <w:pStyle w:val="RLTextlnkuslovan"/>
        <w:numPr>
          <w:ilvl w:val="2"/>
          <w:numId w:val="1"/>
        </w:numPr>
        <w:rPr>
          <w:lang w:eastAsia="en-US"/>
        </w:rPr>
      </w:pPr>
      <w:bookmarkStart w:id="47" w:name="_Ref482755890"/>
      <w:r>
        <w:rPr>
          <w:lang w:eastAsia="en-US"/>
        </w:rPr>
        <w:t>zaplatit Poskytovateli za služby poskytované v rozsahu stanoveném touto Smlouvou dohodnutou cenu.</w:t>
      </w:r>
      <w:bookmarkEnd w:id="47"/>
    </w:p>
    <w:p>
      <w:pPr>
        <w:pStyle w:val="RLTextlnkuslovan"/>
        <w:numPr>
          <w:ilvl w:val="1"/>
          <w:numId w:val="1"/>
        </w:numPr>
        <w:rPr>
          <w:lang w:eastAsia="en-US"/>
        </w:rPr>
      </w:pPr>
      <w:r>
        <w:rPr>
          <w:lang w:eastAsia="en-US"/>
        </w:rPr>
        <w:t>Nabyvatel má právo předem konzultovat nákup nových hardwarových a softwarových prostředků s Poskytovatelem, pokud mají jakýkoliv vztah k Software a nejsou specifikovány v Technické specifikaci.</w:t>
      </w:r>
    </w:p>
    <w:p>
      <w:pPr>
        <w:pStyle w:val="RLlneksmlouvy"/>
        <w:numPr>
          <w:ilvl w:val="0"/>
          <w:numId w:val="1"/>
        </w:numPr>
        <w:rPr>
          <w:bCs/>
        </w:rPr>
      </w:pPr>
      <w:bookmarkStart w:id="48" w:name="_Ref482749672"/>
      <w:bookmarkStart w:id="49" w:name="_Ref482752821"/>
      <w:r>
        <w:rPr/>
        <w:t>DODÁNÍ SOFTWARE</w:t>
      </w:r>
      <w:bookmarkEnd w:id="48"/>
      <w:bookmarkEnd w:id="49"/>
    </w:p>
    <w:p>
      <w:pPr>
        <w:pStyle w:val="RLTextlnkuslovan"/>
        <w:numPr>
          <w:ilvl w:val="1"/>
          <w:numId w:val="1"/>
        </w:numPr>
        <w:rPr>
          <w:lang w:eastAsia="en-US"/>
        </w:rPr>
      </w:pPr>
      <w:r>
        <w:rPr>
          <w:lang w:eastAsia="en-US"/>
        </w:rPr>
        <w:t>Software je dodáván včetně příslušné dokumentace (dále jen „</w:t>
      </w:r>
      <w:r>
        <w:rPr>
          <w:b/>
          <w:lang w:eastAsia="en-US"/>
        </w:rPr>
        <w:t>Dokumentace</w:t>
      </w:r>
      <w:r>
        <w:rPr>
          <w:lang w:eastAsia="en-US"/>
        </w:rPr>
        <w:t>“).</w:t>
      </w:r>
    </w:p>
    <w:p>
      <w:pPr>
        <w:pStyle w:val="RLTextlnkuslovan"/>
        <w:numPr>
          <w:ilvl w:val="1"/>
          <w:numId w:val="1"/>
        </w:numPr>
        <w:rPr>
          <w:lang w:eastAsia="en-US"/>
        </w:rPr>
      </w:pPr>
      <w:r>
        <w:rPr>
          <w:lang w:eastAsia="en-US"/>
        </w:rPr>
        <w:t xml:space="preserve">Software musí po celou dobu trvání licence k Software splňovat Technickou specifikaci. </w:t>
      </w:r>
    </w:p>
    <w:p>
      <w:pPr>
        <w:pStyle w:val="RLTextlnkuslovan"/>
        <w:numPr>
          <w:ilvl w:val="1"/>
          <w:numId w:val="1"/>
        </w:numPr>
        <w:rPr>
          <w:lang w:eastAsia="en-US"/>
        </w:rPr>
      </w:pPr>
      <w:bookmarkStart w:id="50" w:name="_Ref481691059"/>
      <w:r>
        <w:rPr>
          <w:lang w:eastAsia="en-US"/>
        </w:rPr>
        <w:t>Aspekty Software, které jsou definované v Technické specifikaci, mohou podléhat změnám a aktualizacím, zejména za účelem zajištění bezporuchového a bezpečného provozu Software a udržení jeho souladu s platnou legislativou.</w:t>
      </w:r>
      <w:bookmarkEnd w:id="50"/>
      <w:r>
        <w:rPr>
          <w:lang w:eastAsia="en-US"/>
        </w:rPr>
        <w:t xml:space="preserve"> Software rovněž může podléhat změnám, které budou dodány v rámci základní Technické podpory.</w:t>
      </w:r>
    </w:p>
    <w:p>
      <w:pPr>
        <w:pStyle w:val="RLTextlnkuslovan"/>
        <w:numPr>
          <w:ilvl w:val="1"/>
          <w:numId w:val="1"/>
        </w:numPr>
        <w:rPr>
          <w:lang w:eastAsia="en-US"/>
        </w:rPr>
      </w:pPr>
      <w:r>
        <w:rPr>
          <w:lang w:eastAsia="en-US"/>
        </w:rPr>
        <w:t>Software je dodán v okamžiku, kdy je Nabyvateli umožněno jej získat, a to buď ve formě instalace z fyzické kopie či stažením prostřednictvím internetu, a aktivovat pomocí příslušných klíčů.</w:t>
      </w:r>
    </w:p>
    <w:p>
      <w:pPr>
        <w:pStyle w:val="RLTextlnkuslovan"/>
        <w:numPr>
          <w:ilvl w:val="1"/>
          <w:numId w:val="1"/>
        </w:numPr>
        <w:rPr>
          <w:lang w:eastAsia="en-US"/>
        </w:rPr>
      </w:pPr>
      <w:r>
        <w:rPr>
          <w:lang w:eastAsia="en-US"/>
        </w:rPr>
        <w:t>Dodáním Software je udělena Licence dle Smlouvy.</w:t>
      </w:r>
    </w:p>
    <w:p>
      <w:pPr>
        <w:pStyle w:val="RLTextlnkuslovan"/>
        <w:numPr>
          <w:ilvl w:val="1"/>
          <w:numId w:val="1"/>
        </w:numPr>
        <w:rPr>
          <w:lang w:eastAsia="en-US"/>
        </w:rPr>
      </w:pPr>
      <w:r>
        <w:rPr>
          <w:lang w:eastAsia="en-US"/>
        </w:rPr>
        <w:t>Software bude dodán do 14 dnů od nabytí účinnosti Smlouvy, není-li ve Smlouvě sjednán jiný termín či harmonogram dodání.</w:t>
      </w:r>
    </w:p>
    <w:p>
      <w:pPr>
        <w:pStyle w:val="RLTextlnkuslovan"/>
        <w:numPr>
          <w:ilvl w:val="1"/>
          <w:numId w:val="1"/>
        </w:numPr>
        <w:rPr>
          <w:lang w:eastAsia="en-US"/>
        </w:rPr>
      </w:pPr>
      <w:r>
        <w:rPr>
          <w:lang w:eastAsia="en-US"/>
        </w:rPr>
        <w:t>Poskytovatel se zavazuje oznámit Nabyvateli uvolnění nové verze Software. Poskytovatel je dále povinen oznamovat Nabyvateli informace o novinkách souvisejících s produkty nabízenými Poskytovatelem nebo se společností Poskytovatele, a to v případě, že usoudí, že informace jsou pro Nabyvatele relevantní.</w:t>
      </w:r>
    </w:p>
    <w:p>
      <w:pPr>
        <w:pStyle w:val="RLTextlnkuslovan"/>
        <w:numPr>
          <w:ilvl w:val="1"/>
          <w:numId w:val="1"/>
        </w:numPr>
        <w:rPr>
          <w:lang w:eastAsia="en-US"/>
        </w:rPr>
      </w:pPr>
      <w:bookmarkStart w:id="51" w:name="_Ref482755988"/>
      <w:r>
        <w:rPr>
          <w:lang w:eastAsia="en-US"/>
        </w:rPr>
        <w:t>Nabyvatel se zavazuje instalovat aktualizované verze Software, které mu byly řádné oznámeny.</w:t>
      </w:r>
      <w:bookmarkEnd w:id="51"/>
    </w:p>
    <w:p>
      <w:pPr>
        <w:pStyle w:val="RLlneksmlouvy"/>
        <w:numPr>
          <w:ilvl w:val="0"/>
          <w:numId w:val="1"/>
        </w:numPr>
        <w:rPr>
          <w:bCs/>
        </w:rPr>
      </w:pPr>
      <w:bookmarkStart w:id="52" w:name="_Ref482749687"/>
      <w:r>
        <w:rPr/>
        <w:t>POSKYTNUTÍ LICENCE</w:t>
      </w:r>
    </w:p>
    <w:p>
      <w:pPr>
        <w:pStyle w:val="RLTextlnkuslovan"/>
        <w:numPr>
          <w:ilvl w:val="1"/>
          <w:numId w:val="1"/>
        </w:numPr>
        <w:rPr>
          <w:lang w:eastAsia="en-US"/>
        </w:rPr>
      </w:pPr>
      <w:r>
        <w:rPr>
          <w:lang w:eastAsia="en-US"/>
        </w:rPr>
        <w:t>Poskytovatel uděluje Nabyvateli oprávnění užít Software dodaný na základě Smlouvy v rozsahu a za podmínek stanovených v Podmínkách a ve Smlouvě, a to počínaje dodáním Software, tedy poskytnutím údajů nezbytných pro získání Software a jeho aktivaci (dále jen „</w:t>
      </w:r>
      <w:r>
        <w:rPr>
          <w:b/>
          <w:lang w:eastAsia="en-US"/>
        </w:rPr>
        <w:t>Licence</w:t>
      </w:r>
      <w:r>
        <w:rPr>
          <w:lang w:eastAsia="en-US"/>
        </w:rPr>
        <w:t>“). Poskytovatel uděluje Licenci k užití Software pouze ke splnění účelu Smlouvy.</w:t>
      </w:r>
    </w:p>
    <w:p>
      <w:pPr>
        <w:pStyle w:val="RLTextlnkuslovan"/>
        <w:numPr>
          <w:ilvl w:val="1"/>
          <w:numId w:val="1"/>
        </w:numPr>
        <w:rPr>
          <w:lang w:eastAsia="en-US"/>
        </w:rPr>
      </w:pPr>
      <w:r>
        <w:rPr>
          <w:lang w:eastAsia="en-US"/>
        </w:rPr>
        <w:t xml:space="preserve">Softwarem se pro účely Licence rozumí </w:t>
      </w:r>
    </w:p>
    <w:p>
      <w:pPr>
        <w:pStyle w:val="RLTextlnkuslovan"/>
        <w:numPr>
          <w:ilvl w:val="2"/>
          <w:numId w:val="1"/>
        </w:numPr>
        <w:rPr>
          <w:lang w:eastAsia="en-US"/>
        </w:rPr>
      </w:pPr>
      <w:bookmarkStart w:id="53" w:name="_Ref482742098"/>
      <w:r>
        <w:rPr>
          <w:lang w:eastAsia="en-US"/>
        </w:rPr>
        <w:t>prvotně dodané aplikační programové vybavení dle Smlouvy a související administrátorská, instalační, provozní a uživatelská dokumentace</w:t>
      </w:r>
      <w:bookmarkEnd w:id="53"/>
      <w:r>
        <w:rPr>
          <w:lang w:eastAsia="en-US"/>
        </w:rPr>
        <w:t xml:space="preserve"> a </w:t>
      </w:r>
    </w:p>
    <w:p>
      <w:pPr>
        <w:pStyle w:val="RLTextlnkuslovan"/>
        <w:numPr>
          <w:ilvl w:val="2"/>
          <w:numId w:val="1"/>
        </w:numPr>
        <w:rPr>
          <w:lang w:eastAsia="en-US"/>
        </w:rPr>
      </w:pPr>
      <w:r>
        <w:rPr>
          <w:lang w:eastAsia="en-US"/>
        </w:rPr>
        <w:t>jakékoli změny a aktualizace Software, pokud byly provedeny v rámci základní Technické podpory či služeb Poskytovatele, a to od okamžiku jejich zpřístupnění do provozního prostředí Nabyvatele.</w:t>
      </w:r>
    </w:p>
    <w:p>
      <w:pPr>
        <w:pStyle w:val="RLTextlnkuslovan"/>
        <w:numPr>
          <w:ilvl w:val="1"/>
          <w:numId w:val="1"/>
        </w:numPr>
        <w:rPr>
          <w:lang w:eastAsia="en-US"/>
        </w:rPr>
      </w:pPr>
      <w:r>
        <w:rPr>
          <w:lang w:eastAsia="en-US"/>
        </w:rPr>
        <w:t>Pro vyloučení pochybností se sjednává, že součástí Software jsou i spojené konfigurační soubory nezbytné pro fungování Software, jeho instalace, nastavení, spouštění a řádného užívání; tyto konfigurační soubory jsou chráněny ve stejném rozsahu jako zbylé části Software a smluvní strany se zavazují k nim takto přistupovat.</w:t>
      </w:r>
    </w:p>
    <w:p>
      <w:pPr>
        <w:pStyle w:val="RLTextlnkuslovan"/>
        <w:numPr>
          <w:ilvl w:val="1"/>
          <w:numId w:val="1"/>
        </w:numPr>
        <w:rPr>
          <w:lang w:eastAsia="en-US"/>
        </w:rPr>
      </w:pPr>
      <w:r>
        <w:rPr>
          <w:lang w:eastAsia="en-US"/>
        </w:rPr>
        <w:t>Předmětem Licence nejsou zdrojové kódy. Za zdrojový kód se pro tyto účely považuje vyjádření Software, které je v rámci běžné praxe vhodné k jeho úpravám prováděným člověkem.</w:t>
      </w:r>
    </w:p>
    <w:p>
      <w:pPr>
        <w:pStyle w:val="RLTextlnkuslovan"/>
        <w:numPr>
          <w:ilvl w:val="0"/>
          <w:numId w:val="0"/>
        </w:numPr>
        <w:ind w:left="1474" w:hanging="0"/>
        <w:rPr>
          <w:b/>
          <w:b/>
          <w:lang w:eastAsia="en-US"/>
        </w:rPr>
      </w:pPr>
      <w:r>
        <w:rPr>
          <w:b/>
          <w:lang w:eastAsia="en-US"/>
        </w:rPr>
        <w:t>Rozsah Licence</w:t>
      </w:r>
    </w:p>
    <w:p>
      <w:pPr>
        <w:pStyle w:val="RLTextlnkuslovan"/>
        <w:numPr>
          <w:ilvl w:val="1"/>
          <w:numId w:val="1"/>
        </w:numPr>
        <w:rPr>
          <w:lang w:eastAsia="en-US"/>
        </w:rPr>
      </w:pPr>
      <w:r>
        <w:rPr>
          <w:lang w:eastAsia="en-US"/>
        </w:rPr>
        <w:t>Nabyvatel není oprávněn užít Software jeho rozmnožováním.</w:t>
      </w:r>
    </w:p>
    <w:p>
      <w:pPr>
        <w:pStyle w:val="RLTextlnkuslovan"/>
        <w:numPr>
          <w:ilvl w:val="1"/>
          <w:numId w:val="1"/>
        </w:numPr>
        <w:rPr>
          <w:lang w:eastAsia="en-US"/>
        </w:rPr>
      </w:pPr>
      <w:r>
        <w:rPr>
          <w:lang w:eastAsia="en-US"/>
        </w:rPr>
        <w:t>Licence se uděluje jako časově neomezená; není-li ve Smlouvě stanoveno jinak. Tímto není dotčeno ujednání odst. 4. 15 Podmínek.</w:t>
      </w:r>
    </w:p>
    <w:p>
      <w:pPr>
        <w:pStyle w:val="RLTextlnkuslovan"/>
        <w:numPr>
          <w:ilvl w:val="1"/>
          <w:numId w:val="1"/>
        </w:numPr>
        <w:rPr>
          <w:lang w:eastAsia="en-US"/>
        </w:rPr>
      </w:pPr>
      <w:r>
        <w:rPr>
          <w:lang w:eastAsia="en-US"/>
        </w:rPr>
        <w:t>Nabyvatel je oprávněn Licenci využít pouze v místech užívání Software uvedených ve Smlouvě.</w:t>
      </w:r>
    </w:p>
    <w:p>
      <w:pPr>
        <w:pStyle w:val="RLTextlnkuslovan"/>
        <w:numPr>
          <w:ilvl w:val="1"/>
          <w:numId w:val="1"/>
        </w:numPr>
        <w:rPr>
          <w:lang w:eastAsia="en-US"/>
        </w:rPr>
      </w:pPr>
      <w:bookmarkStart w:id="54" w:name="_Ref482750568"/>
      <w:r>
        <w:rPr>
          <w:lang w:eastAsia="en-US"/>
        </w:rPr>
        <w:t>Nabyvatel je oprávněn užít Software na základě této Licence ve sjednaném počtu licencí buď pro jednotlivé agendy, anebo pro celkový systém dle Smlouvy.</w:t>
      </w:r>
    </w:p>
    <w:p>
      <w:pPr>
        <w:pStyle w:val="RLTextlnkuslovan"/>
        <w:numPr>
          <w:ilvl w:val="1"/>
          <w:numId w:val="1"/>
        </w:numPr>
        <w:rPr>
          <w:lang w:eastAsia="en-US"/>
        </w:rPr>
      </w:pPr>
      <w:bookmarkStart w:id="55" w:name="_Ref482750568"/>
      <w:r>
        <w:rPr>
          <w:lang w:eastAsia="en-US"/>
        </w:rPr>
        <w:t>Bez předchozího písemného souhlasu Poskytovatele není Nabyvatel oprávněn Licenci ani její část postoupit třetí osobě ani třetí osobě udělit podlicenci</w:t>
      </w:r>
      <w:bookmarkEnd w:id="55"/>
      <w:r>
        <w:rPr>
          <w:lang w:eastAsia="en-US"/>
        </w:rPr>
        <w:t>.</w:t>
      </w:r>
    </w:p>
    <w:p>
      <w:pPr>
        <w:pStyle w:val="RLTextlnkuslovan"/>
        <w:numPr>
          <w:ilvl w:val="1"/>
          <w:numId w:val="1"/>
        </w:numPr>
        <w:rPr>
          <w:lang w:eastAsia="en-US"/>
        </w:rPr>
      </w:pPr>
      <w:r>
        <w:rPr>
          <w:lang w:eastAsia="en-US"/>
        </w:rPr>
        <w:t>Licence je nevýhradní.</w:t>
      </w:r>
    </w:p>
    <w:p>
      <w:pPr>
        <w:pStyle w:val="RLTextlnkuslovan"/>
        <w:numPr>
          <w:ilvl w:val="1"/>
          <w:numId w:val="1"/>
        </w:numPr>
        <w:rPr>
          <w:lang w:eastAsia="en-US"/>
        </w:rPr>
      </w:pPr>
      <w:r>
        <w:rPr>
          <w:lang w:eastAsia="en-US"/>
        </w:rPr>
        <w:t>Licence se sjednává jako úplatná; licenční odměna je v plné výši zahrnuta v ceně za Software.</w:t>
      </w:r>
    </w:p>
    <w:p>
      <w:pPr>
        <w:pStyle w:val="RLTextlnkuslovan"/>
        <w:numPr>
          <w:ilvl w:val="1"/>
          <w:numId w:val="1"/>
        </w:numPr>
        <w:rPr>
          <w:lang w:eastAsia="en-US"/>
        </w:rPr>
      </w:pPr>
      <w:r>
        <w:rPr>
          <w:lang w:eastAsia="en-US"/>
        </w:rPr>
        <w:t xml:space="preserve">Nabyvatel touto Licencí nezískává souhlas s prováděním úprav či jiných zásahů do Software či jeho označení, ani k jeho zpracování a tvorbě odvozených děl jinými způsoby, včetně spojování s jiným dílem či zařazování do díla souborného. </w:t>
      </w:r>
    </w:p>
    <w:p>
      <w:pPr>
        <w:pStyle w:val="RLTextlnkuslovan"/>
        <w:numPr>
          <w:ilvl w:val="0"/>
          <w:numId w:val="0"/>
        </w:numPr>
        <w:ind w:left="1474" w:hanging="0"/>
        <w:rPr>
          <w:b/>
          <w:b/>
          <w:lang w:eastAsia="en-US"/>
        </w:rPr>
      </w:pPr>
      <w:r>
        <w:rPr>
          <w:b/>
          <w:lang w:eastAsia="en-US"/>
        </w:rPr>
        <w:t>Další podmínky</w:t>
      </w:r>
    </w:p>
    <w:p>
      <w:pPr>
        <w:pStyle w:val="RLTextlnkuslovan"/>
        <w:numPr>
          <w:ilvl w:val="1"/>
          <w:numId w:val="1"/>
        </w:numPr>
        <w:rPr>
          <w:lang w:eastAsia="en-US"/>
        </w:rPr>
      </w:pPr>
      <w:r>
        <w:rPr>
          <w:lang w:eastAsia="en-US"/>
        </w:rPr>
        <w:t xml:space="preserve">V rozsahu, v jakém se Software považuje za počítačový program nebo jeho rozmnoženinu, není Nabyvatel oprávněn k jeho rozmnožování, překládání, zpracovávání, úpravám či provádění jiných změn. </w:t>
      </w:r>
    </w:p>
    <w:p>
      <w:pPr>
        <w:pStyle w:val="RLTextlnkuslovan"/>
        <w:numPr>
          <w:ilvl w:val="1"/>
          <w:numId w:val="1"/>
        </w:numPr>
        <w:rPr>
          <w:lang w:eastAsia="en-US"/>
        </w:rPr>
      </w:pPr>
      <w:r>
        <w:rPr>
          <w:lang w:eastAsia="en-US"/>
        </w:rPr>
        <w:t>Nabyvatel se zavazuje, že Software budou užívat pouze Koncoví uživatelé s potřebnou kvalifikací, kteří absolvovali školení provedené Poskytovatelem.</w:t>
      </w:r>
    </w:p>
    <w:p>
      <w:pPr>
        <w:pStyle w:val="RLTextlnkuslovan"/>
        <w:numPr>
          <w:ilvl w:val="1"/>
          <w:numId w:val="1"/>
        </w:numPr>
        <w:rPr>
          <w:lang w:eastAsia="en-US"/>
        </w:rPr>
      </w:pPr>
      <w:r>
        <w:rPr>
          <w:lang w:eastAsia="en-US"/>
        </w:rPr>
        <w:t>Nedodržení rozsahu Licence či jejích podmínek má za následek zánik Licence k okamžiku prvního výskytu takového porušení, pokud nedojde k odstranění porušení bez zbytečného odkladu po upozornění ze strany Poskytovatele, nejpozději však do 30 dnů.</w:t>
      </w:r>
    </w:p>
    <w:p>
      <w:pPr>
        <w:pStyle w:val="RLTextlnkuslovan"/>
        <w:numPr>
          <w:ilvl w:val="1"/>
          <w:numId w:val="1"/>
        </w:numPr>
        <w:rPr>
          <w:lang w:eastAsia="en-US"/>
        </w:rPr>
      </w:pPr>
      <w:r>
        <w:rPr>
          <w:lang w:eastAsia="en-US"/>
        </w:rPr>
        <w:t>Poskytovatel je oprávněn kontrolovat dodržování podmínek Licence Nabyvatelem. V rámci výkonu tohoto oprávnění může Poskytovatel zejména kdykoli osobně nebo prostřednictvím smluvních partnerů či jiné osoby (daňového poradce nebo jiné osoby odborně zdatné) po předchozím písemném oznámení a v Pracovní době zkontrolovat, zda Nabyvatel užívá Software v souladu s licenčními podmínkami. Nabyvatel se zavazuje, že učiní vše potřebné, a zajistí, aby Poskytovatel mohl tuto kontrolu provést, zejména mu umožní vstup do svých prostorů a přístup k uživatelským pracovním stanicím, a tak i k Software, jakož i k hardware a software v rozsahu, v jakém je to nezbytné pro provedení kontroly; při přístupu k jinému hardware a software je třeba dbát práv třetích osob.</w:t>
      </w:r>
    </w:p>
    <w:p>
      <w:pPr>
        <w:pStyle w:val="RLlneksmlouvy"/>
        <w:numPr>
          <w:ilvl w:val="0"/>
          <w:numId w:val="1"/>
        </w:numPr>
        <w:rPr>
          <w:bCs/>
        </w:rPr>
      </w:pPr>
      <w:bookmarkStart w:id="56" w:name="_Ref482749687"/>
      <w:r>
        <w:rPr/>
        <w:t>IMPLEMENTACE SOFTWARE</w:t>
      </w:r>
      <w:bookmarkEnd w:id="56"/>
    </w:p>
    <w:p>
      <w:pPr>
        <w:pStyle w:val="RLTextlnkuslovan"/>
        <w:numPr>
          <w:ilvl w:val="1"/>
          <w:numId w:val="1"/>
        </w:numPr>
        <w:rPr>
          <w:lang w:eastAsia="en-US"/>
        </w:rPr>
      </w:pPr>
      <w:r>
        <w:rPr>
          <w:lang w:eastAsia="en-US"/>
        </w:rPr>
        <w:t xml:space="preserve">Implementace zahrnuje činnosti stanovené ve Smlouvě.  </w:t>
      </w:r>
    </w:p>
    <w:p>
      <w:pPr>
        <w:pStyle w:val="RLTextlnkuslovan"/>
        <w:numPr>
          <w:ilvl w:val="1"/>
          <w:numId w:val="1"/>
        </w:numPr>
        <w:rPr>
          <w:lang w:eastAsia="en-US"/>
        </w:rPr>
      </w:pPr>
      <w:bookmarkStart w:id="57" w:name="_Ref482753076"/>
      <w:r>
        <w:rPr>
          <w:lang w:eastAsia="en-US"/>
        </w:rPr>
        <w:t>V rámci Implementace Poskytovatel bude vést záznamy o provedené práci formou servisních listů či akceptačních protokolů vystavených po realizaci práce; servisní listy či akceptační protokoly budou potvrzeny oprávněnou osobou Nabyvatele</w:t>
      </w:r>
      <w:bookmarkEnd w:id="57"/>
      <w:r>
        <w:rPr>
          <w:lang w:eastAsia="en-US"/>
        </w:rPr>
        <w:t xml:space="preserve">. Poskytovatel je oprávněn vystavit i dílčí akceptační protokol po dokončení implementace části Software. </w:t>
      </w:r>
    </w:p>
    <w:p>
      <w:pPr>
        <w:pStyle w:val="RLTextlnkuslovan"/>
        <w:numPr>
          <w:ilvl w:val="1"/>
          <w:numId w:val="1"/>
        </w:numPr>
        <w:rPr>
          <w:lang w:eastAsia="en-US"/>
        </w:rPr>
      </w:pPr>
      <w:r>
        <w:rPr>
          <w:lang w:eastAsia="en-US"/>
        </w:rPr>
        <w:t xml:space="preserve">Poskytovatel se zavazuje podepsat akceptační protokol i v případě, kdy implementace je provedena s vadami, které nebrání provozu Software, tj. vadami, které neznemožňují provádět základní funkci Software. </w:t>
      </w:r>
    </w:p>
    <w:p>
      <w:pPr>
        <w:pStyle w:val="RLlneksmlouvy"/>
        <w:numPr>
          <w:ilvl w:val="0"/>
          <w:numId w:val="1"/>
        </w:numPr>
        <w:rPr>
          <w:bCs/>
        </w:rPr>
      </w:pPr>
      <w:bookmarkStart w:id="58" w:name="_Ref499056892"/>
      <w:bookmarkStart w:id="59" w:name="_Ref482749702"/>
      <w:r>
        <w:rPr/>
        <w:t>TECHNICKÁ PODPORA</w:t>
      </w:r>
      <w:bookmarkEnd w:id="58"/>
      <w:bookmarkEnd w:id="59"/>
    </w:p>
    <w:p>
      <w:pPr>
        <w:pStyle w:val="RLTextlnkuslovan"/>
        <w:numPr>
          <w:ilvl w:val="1"/>
          <w:numId w:val="1"/>
        </w:numPr>
        <w:rPr>
          <w:lang w:eastAsia="en-US"/>
        </w:rPr>
      </w:pPr>
      <w:r>
        <w:rPr>
          <w:lang w:eastAsia="en-US"/>
        </w:rPr>
        <w:t xml:space="preserve">Poskytovatel se zavazuje garantovat Technickou podporu pouze u podporovaných verzí. </w:t>
      </w:r>
    </w:p>
    <w:p>
      <w:pPr>
        <w:pStyle w:val="RLTextlnkuslovan"/>
        <w:numPr>
          <w:ilvl w:val="1"/>
          <w:numId w:val="1"/>
        </w:numPr>
        <w:rPr>
          <w:lang w:eastAsia="en-US"/>
        </w:rPr>
      </w:pPr>
      <w:r>
        <w:rPr>
          <w:lang w:eastAsia="en-US"/>
        </w:rPr>
        <w:t>Podporovanými verzemi se rozumí poslední dvě po sobě následující verze Software. Verzí se pro účely Smlouvy rozumí podoba Software dodaná Nabyvateli, která je označována číslem ve formátu X.Y.Z. Poslední verze je vyjádřena číslem uvedeným na pozici „Z“. Ukončení podpory verze musí oznámit Poskytovatel 6 měsíců před termínem ukončení.</w:t>
      </w:r>
    </w:p>
    <w:p>
      <w:pPr>
        <w:pStyle w:val="RLTextlnkuslovan"/>
        <w:numPr>
          <w:ilvl w:val="1"/>
          <w:numId w:val="1"/>
        </w:numPr>
        <w:rPr>
          <w:lang w:eastAsia="en-US"/>
        </w:rPr>
      </w:pPr>
      <w:r>
        <w:rPr>
          <w:lang w:eastAsia="en-US"/>
        </w:rPr>
        <w:t xml:space="preserve">Technická podpora je poskytována v případě jejího sjednání Smlouvou a ve formě sjednané Smlouvou, buď jako základní nebo základní a rozšířená Technická podpora.  Technická podpora je poskytována počínaje 1. dnem měsíce následujícího po dodání Software. Pokud je vyhotovován akceptační protokol, je Technická podpora poskytována počínaje 1. dnem měsíce následujícího po podpisu akceptačního protokolu. </w:t>
      </w:r>
    </w:p>
    <w:p>
      <w:pPr>
        <w:pStyle w:val="RLTextlnkuslovan"/>
        <w:numPr>
          <w:ilvl w:val="1"/>
          <w:numId w:val="1"/>
        </w:numPr>
        <w:rPr>
          <w:lang w:eastAsia="en-US"/>
        </w:rPr>
      </w:pPr>
      <w:bookmarkStart w:id="60" w:name="_Ref482755996"/>
      <w:r>
        <w:rPr>
          <w:lang w:eastAsia="en-US"/>
        </w:rPr>
        <w:t xml:space="preserve">Nabyvatel se zavazuje používat po dobu platnosti Smlouvy podporovanou verzi Software na platformách uvedených v Technické specifikaci tvořící přílohu č. 1 Smlouvy. Nedodrží-li Nabyvatel tento závazek, nezaručuje Poskytovatel bezvadnost Software a možnost poskytování Technické podpory. </w:t>
      </w:r>
      <w:bookmarkEnd w:id="60"/>
    </w:p>
    <w:p>
      <w:pPr>
        <w:pStyle w:val="RLTextlnkuslovan"/>
        <w:numPr>
          <w:ilvl w:val="1"/>
          <w:numId w:val="1"/>
        </w:numPr>
        <w:rPr>
          <w:lang w:eastAsia="en-US"/>
        </w:rPr>
      </w:pPr>
      <w:bookmarkStart w:id="61" w:name="_Ref499056914"/>
      <w:bookmarkStart w:id="62" w:name="_Ref482752338"/>
      <w:r>
        <w:rPr>
          <w:lang w:eastAsia="en-US"/>
        </w:rPr>
        <w:t>V rámci základní Technické podpory systému má Nabyvatel nárok na poskytování aktualizací v následujícím rozsahu</w:t>
      </w:r>
      <w:bookmarkEnd w:id="62"/>
      <w:r>
        <w:rPr>
          <w:lang w:eastAsia="en-US"/>
        </w:rPr>
        <w:t>:</w:t>
      </w:r>
      <w:bookmarkEnd w:id="61"/>
    </w:p>
    <w:p>
      <w:pPr>
        <w:pStyle w:val="RLTextlnkuslovan"/>
        <w:numPr>
          <w:ilvl w:val="2"/>
          <w:numId w:val="1"/>
        </w:numPr>
        <w:rPr>
          <w:lang w:eastAsia="en-US"/>
        </w:rPr>
      </w:pPr>
      <w:r>
        <w:rPr>
          <w:lang w:eastAsia="en-US"/>
        </w:rPr>
        <w:t>úpravy provedené Poskytovatelem na základě požadavků uživatelů Software, odsouhlasených Poskytovatelem, přičemž z povahy těchto úprav Software vyplývá, že mohou být využívány všemi uživateli Software;</w:t>
      </w:r>
    </w:p>
    <w:p>
      <w:pPr>
        <w:pStyle w:val="RLTextlnkuslovan"/>
        <w:numPr>
          <w:ilvl w:val="2"/>
          <w:numId w:val="1"/>
        </w:numPr>
        <w:rPr>
          <w:lang w:eastAsia="en-US"/>
        </w:rPr>
      </w:pPr>
      <w:r>
        <w:rPr>
          <w:lang w:eastAsia="en-US"/>
        </w:rPr>
        <w:t xml:space="preserve">rozvoj Software, tedy úpravy provedené Poskytovatelem na základě vlastního metodického rozvoje; </w:t>
      </w:r>
    </w:p>
    <w:p>
      <w:pPr>
        <w:pStyle w:val="RLTextlnkuslovan"/>
        <w:numPr>
          <w:ilvl w:val="2"/>
          <w:numId w:val="1"/>
        </w:numPr>
        <w:rPr>
          <w:lang w:eastAsia="en-US"/>
        </w:rPr>
      </w:pPr>
      <w:r>
        <w:rPr>
          <w:lang w:eastAsia="en-US"/>
        </w:rPr>
        <w:t>provádění změn Software vyplývajících z úprav právních předpisů;</w:t>
      </w:r>
    </w:p>
    <w:p>
      <w:pPr>
        <w:pStyle w:val="RLTextlnkuslovan"/>
        <w:numPr>
          <w:ilvl w:val="2"/>
          <w:numId w:val="1"/>
        </w:numPr>
        <w:rPr>
          <w:lang w:eastAsia="en-US"/>
        </w:rPr>
      </w:pPr>
      <w:r>
        <w:rPr>
          <w:lang w:eastAsia="en-US"/>
        </w:rPr>
        <w:t>o verzi Software Poskytovatel vždy informuje Nabyvatele, a to do 15 dnů od jejího uvolnění k distribuci.</w:t>
      </w:r>
    </w:p>
    <w:p>
      <w:pPr>
        <w:pStyle w:val="RLTextlnkuslovan"/>
        <w:numPr>
          <w:ilvl w:val="2"/>
          <w:numId w:val="1"/>
        </w:numPr>
        <w:rPr>
          <w:lang w:eastAsia="en-US"/>
        </w:rPr>
      </w:pPr>
      <w:r>
        <w:rPr>
          <w:lang w:eastAsia="en-US"/>
        </w:rPr>
        <w:t>informování o změnách a nových funkcích v aktualizovaných verzích Software;</w:t>
      </w:r>
    </w:p>
    <w:p>
      <w:pPr>
        <w:pStyle w:val="RLTextlnkuslovan"/>
        <w:numPr>
          <w:ilvl w:val="2"/>
          <w:numId w:val="1"/>
        </w:numPr>
        <w:rPr>
          <w:lang w:eastAsia="en-US"/>
        </w:rPr>
      </w:pPr>
      <w:r>
        <w:rPr>
          <w:lang w:eastAsia="en-US"/>
        </w:rPr>
        <w:t>průběžnou aktualizaci dokumentace;</w:t>
      </w:r>
    </w:p>
    <w:p>
      <w:pPr>
        <w:pStyle w:val="RLTextlnkuslovan"/>
        <w:numPr>
          <w:ilvl w:val="2"/>
          <w:numId w:val="1"/>
        </w:numPr>
        <w:rPr>
          <w:lang w:eastAsia="en-US"/>
        </w:rPr>
      </w:pPr>
      <w:bookmarkStart w:id="63" w:name="_Ref498955591"/>
      <w:bookmarkStart w:id="64" w:name="_Ref498955539"/>
      <w:r>
        <w:rPr>
          <w:lang w:eastAsia="en-US"/>
        </w:rPr>
        <w:t>průběžný upgrade a update Software při upgradu operačního či databázového systému na vyšší verze v souladu se specifikacemi uvedenými ve Smlouvě, a to do šesti (6) měsíců od uvedení takového upgradu do prodeje v České republice;</w:t>
      </w:r>
      <w:bookmarkEnd w:id="63"/>
      <w:bookmarkEnd w:id="64"/>
    </w:p>
    <w:p>
      <w:pPr>
        <w:pStyle w:val="RLTextlnkuslovan"/>
        <w:numPr>
          <w:ilvl w:val="2"/>
          <w:numId w:val="1"/>
        </w:numPr>
        <w:rPr>
          <w:lang w:eastAsia="en-US"/>
        </w:rPr>
      </w:pPr>
      <w:r>
        <w:rPr>
          <w:lang w:eastAsia="en-US"/>
        </w:rPr>
        <w:t>možnost účasti Nabyvatele na schůzkách uživatelů pořádaných Poskytovatelem.</w:t>
      </w:r>
    </w:p>
    <w:p>
      <w:pPr>
        <w:pStyle w:val="RLTextlnkuslovan"/>
        <w:numPr>
          <w:ilvl w:val="1"/>
          <w:numId w:val="1"/>
        </w:numPr>
        <w:rPr>
          <w:lang w:eastAsia="en-US"/>
        </w:rPr>
      </w:pPr>
      <w:r>
        <w:rPr>
          <w:lang w:eastAsia="en-US"/>
        </w:rPr>
        <w:t>V rámci rozšířené Technické podpory systému má Nabyvatel nárok na poskytování služeb stanovených Smlouvou.</w:t>
      </w:r>
    </w:p>
    <w:p>
      <w:pPr>
        <w:pStyle w:val="RLTextlnkuslovan"/>
        <w:numPr>
          <w:ilvl w:val="1"/>
          <w:numId w:val="1"/>
        </w:numPr>
        <w:rPr>
          <w:lang w:eastAsia="en-US"/>
        </w:rPr>
      </w:pPr>
      <w:r>
        <w:rPr>
          <w:lang w:eastAsia="en-US"/>
        </w:rPr>
        <w:t xml:space="preserve">Povinnost průběžného upgrade a update Software podle ustanovení odstavce </w:t>
      </w:r>
      <w:r>
        <w:rPr>
          <w:lang w:eastAsia="en-US"/>
        </w:rPr>
        <w:fldChar w:fldCharType="begin"/>
      </w:r>
      <w:r>
        <w:rPr>
          <w:lang w:eastAsia="en-US"/>
        </w:rPr>
        <w:instrText xml:space="preserve"> REF _Ref498955591 \r \h </w:instrText>
      </w:r>
      <w:r>
        <w:rPr>
          <w:lang w:eastAsia="en-US"/>
        </w:rPr>
        <w:fldChar w:fldCharType="separate"/>
      </w:r>
      <w:r>
        <w:rPr>
          <w:lang w:eastAsia="en-US"/>
        </w:rPr>
        <w:t>6.5.7</w:t>
      </w:r>
      <w:r>
        <w:rPr>
          <w:lang w:eastAsia="en-US"/>
        </w:rPr>
        <w:fldChar w:fldCharType="end"/>
      </w:r>
      <w:r>
        <w:rPr>
          <w:lang w:eastAsia="en-US"/>
        </w:rPr>
        <w:t xml:space="preserve"> se nevztahuje na případy, kdy upgrade produktů třetích stran vykazují takové vlastnosti, které omezují, či znemožňují provoz Software a jejich vzájemné užívání by proto bylo neslučitelné.</w:t>
      </w:r>
    </w:p>
    <w:p>
      <w:pPr>
        <w:pStyle w:val="RLTextlnkuslovan"/>
        <w:numPr>
          <w:ilvl w:val="1"/>
          <w:numId w:val="1"/>
        </w:numPr>
        <w:rPr>
          <w:lang w:eastAsia="en-US"/>
        </w:rPr>
      </w:pPr>
      <w:r>
        <w:rPr>
          <w:lang w:eastAsia="en-US"/>
        </w:rPr>
        <w:t>Verze Software aktualizované v souvislosti se změnami právních předpisů budou Poskytovatelem dodány nejpozději 10 dnů před nabytím účinnosti příslušného právního předpisu. Pokud právní předpis nabude účinnosti dříve než 60 dnů po uveřejnění ve Sbírce zákonů, bude „distribuce“ „aktualizované verze“ provedena nejpozději do 60 dnů ode dne uveřejnění ve Sbírce zákonů.</w:t>
      </w:r>
    </w:p>
    <w:p>
      <w:pPr>
        <w:pStyle w:val="RLTextlnkuslovan"/>
        <w:numPr>
          <w:ilvl w:val="1"/>
          <w:numId w:val="1"/>
        </w:numPr>
        <w:rPr>
          <w:lang w:eastAsia="en-US"/>
        </w:rPr>
      </w:pPr>
      <w:r>
        <w:rPr>
          <w:lang w:eastAsia="en-US"/>
        </w:rPr>
        <w:t xml:space="preserve">Činnosti potřebné k zavedení rozšířené funkcionality, požadované Nabyvatelem nad rámec aktualizací dle odst. </w:t>
      </w:r>
      <w:r>
        <w:rPr>
          <w:lang w:eastAsia="en-US"/>
        </w:rPr>
        <w:fldChar w:fldCharType="begin"/>
      </w:r>
      <w:r>
        <w:rPr>
          <w:lang w:eastAsia="en-US"/>
        </w:rPr>
        <w:instrText xml:space="preserve"> REF _Ref482752338 \r \h </w:instrText>
      </w:r>
      <w:r>
        <w:rPr>
          <w:lang w:eastAsia="en-US"/>
        </w:rPr>
        <w:fldChar w:fldCharType="separate"/>
      </w:r>
      <w:r>
        <w:rPr>
          <w:lang w:eastAsia="en-US"/>
        </w:rPr>
        <w:t>6.5</w:t>
      </w:r>
      <w:r>
        <w:rPr>
          <w:lang w:eastAsia="en-US"/>
        </w:rPr>
        <w:fldChar w:fldCharType="end"/>
      </w:r>
      <w:r>
        <w:rPr>
          <w:lang w:eastAsia="en-US"/>
        </w:rPr>
        <w:t xml:space="preserve"> Podmínek, nejsou součástí Technické podpory a budou hrazeny jako doprovodná služba dle ceníku Poskytovatele.</w:t>
      </w:r>
    </w:p>
    <w:p>
      <w:pPr>
        <w:pStyle w:val="RLTextlnkuslovan"/>
        <w:numPr>
          <w:ilvl w:val="1"/>
          <w:numId w:val="1"/>
        </w:numPr>
        <w:rPr>
          <w:bCs/>
        </w:rPr>
      </w:pPr>
      <w:r>
        <w:rPr/>
        <w:t>Poskytování služby Technické podpory k Software lze ukončit písemnou výpovědí. Ve výpovědi musí být uveden seznam agend a počet licencí, kterých se výpověď týká. Výpovědní lhůta trvá 6 měsíců a počíná běžet od prvního dne měsíce následujícího po prokazatelném doručení výpovědi.</w:t>
      </w:r>
    </w:p>
    <w:p>
      <w:pPr>
        <w:pStyle w:val="RLlneksmlouvy"/>
        <w:numPr>
          <w:ilvl w:val="0"/>
          <w:numId w:val="1"/>
        </w:numPr>
        <w:rPr>
          <w:bCs/>
        </w:rPr>
      </w:pPr>
      <w:r>
        <w:rPr/>
        <w:t>ODPOVĚDNOST ZA VADY A ÚROVEŇ POSKYTOVANÉ ZÁRUKY</w:t>
      </w:r>
    </w:p>
    <w:p>
      <w:pPr>
        <w:pStyle w:val="RLTextlnkuslovan"/>
        <w:numPr>
          <w:ilvl w:val="1"/>
          <w:numId w:val="1"/>
        </w:numPr>
        <w:rPr>
          <w:bCs/>
        </w:rPr>
      </w:pPr>
      <w:r>
        <w:rPr>
          <w:lang w:eastAsia="en-US"/>
        </w:rPr>
        <w:t xml:space="preserve">Poskytovatel odpovídá za vady Software a služeb po dobu poskytování Technické podpory. Smluvní strany se dohodly, že vady budou reklamovány níže popsaným způsobem a budou řešeny odstraněním vady.  V případě, že Poskytovatel sdělí Nabyvateli, že vada není odstranitelná a nedohodnou-li se na náhradním řešení, je Nabyvatel oprávněn požadovat slevu z ceny či odstoupení od smlouvy. </w:t>
      </w:r>
    </w:p>
    <w:p>
      <w:pPr>
        <w:pStyle w:val="RLTextlnkuslovan"/>
        <w:numPr>
          <w:ilvl w:val="1"/>
          <w:numId w:val="1"/>
        </w:numPr>
        <w:rPr>
          <w:lang w:eastAsia="en-US"/>
        </w:rPr>
      </w:pPr>
      <w:bookmarkStart w:id="65" w:name="_Ref481687985"/>
      <w:r>
        <w:rPr>
          <w:lang w:eastAsia="en-US"/>
        </w:rPr>
        <w:t xml:space="preserve">Pro účely tohoto článku se vadou rozumí stav, kdy Software vykazuje funkční vlastnosti, které jsou v rozporu se Smlouvou.  </w:t>
      </w:r>
    </w:p>
    <w:p>
      <w:pPr>
        <w:pStyle w:val="RLTextlnkuslovan"/>
        <w:numPr>
          <w:ilvl w:val="1"/>
          <w:numId w:val="1"/>
        </w:numPr>
        <w:rPr>
          <w:lang w:eastAsia="en-US"/>
        </w:rPr>
      </w:pPr>
      <w:r>
        <w:rPr>
          <w:lang w:eastAsia="en-US"/>
        </w:rPr>
        <w:t>Poskytovatel poskytuje záruku na Software po dobu šesti měsíců (dále jen „</w:t>
      </w:r>
      <w:r>
        <w:rPr>
          <w:b/>
          <w:lang w:eastAsia="en-US"/>
        </w:rPr>
        <w:t>Záruční doba</w:t>
      </w:r>
      <w:r>
        <w:rPr>
          <w:lang w:eastAsia="en-US"/>
        </w:rPr>
        <w:t>“). Záruční doba počíná běžet ode dne předání Software či poskytnutí služeb dle Předávacího protokolu; v případě, že Software či služby budou Nabyvateli poskytnuty formou dálkového přenosu dat, běží záruční doba od okamžiku, kdy se Nabyvatel dozvěděl, že takovýto přenos dat je k dispozici.</w:t>
      </w:r>
    </w:p>
    <w:p>
      <w:pPr>
        <w:pStyle w:val="RLTextlnkuslovan"/>
        <w:numPr>
          <w:ilvl w:val="1"/>
          <w:numId w:val="1"/>
        </w:numPr>
        <w:rPr>
          <w:lang w:eastAsia="en-US"/>
        </w:rPr>
      </w:pPr>
      <w:bookmarkStart w:id="66" w:name="_Ref482756402"/>
      <w:r>
        <w:rPr>
          <w:lang w:eastAsia="en-US"/>
        </w:rPr>
        <w:t>Poskytovatel neodpovídá za vady způsobené:</w:t>
      </w:r>
      <w:bookmarkEnd w:id="66"/>
    </w:p>
    <w:p>
      <w:pPr>
        <w:pStyle w:val="RLTextlnkuslovan"/>
        <w:numPr>
          <w:ilvl w:val="2"/>
          <w:numId w:val="1"/>
        </w:numPr>
        <w:rPr>
          <w:lang w:eastAsia="en-US"/>
        </w:rPr>
      </w:pPr>
      <w:r>
        <w:rPr>
          <w:lang w:eastAsia="en-US"/>
        </w:rPr>
        <w:t xml:space="preserve">závadami používaného hardware, </w:t>
      </w:r>
    </w:p>
    <w:p>
      <w:pPr>
        <w:pStyle w:val="RLTextlnkuslovan"/>
        <w:numPr>
          <w:ilvl w:val="2"/>
          <w:numId w:val="1"/>
        </w:numPr>
        <w:rPr>
          <w:lang w:eastAsia="en-US"/>
        </w:rPr>
      </w:pPr>
      <w:r>
        <w:rPr>
          <w:lang w:eastAsia="en-US"/>
        </w:rPr>
        <w:t xml:space="preserve">vadnou obsluhou, </w:t>
      </w:r>
    </w:p>
    <w:p>
      <w:pPr>
        <w:pStyle w:val="RLTextlnkuslovan"/>
        <w:numPr>
          <w:ilvl w:val="2"/>
          <w:numId w:val="1"/>
        </w:numPr>
        <w:rPr>
          <w:lang w:eastAsia="en-US"/>
        </w:rPr>
      </w:pPr>
      <w:r>
        <w:rPr>
          <w:lang w:eastAsia="en-US"/>
        </w:rPr>
        <w:t xml:space="preserve">opomenutím nainstalovat aktualizaci Software, </w:t>
      </w:r>
    </w:p>
    <w:p>
      <w:pPr>
        <w:pStyle w:val="RLTextlnkuslovan"/>
        <w:numPr>
          <w:ilvl w:val="2"/>
          <w:numId w:val="1"/>
        </w:numPr>
        <w:rPr>
          <w:lang w:eastAsia="en-US"/>
        </w:rPr>
      </w:pPr>
      <w:r>
        <w:rPr>
          <w:lang w:eastAsia="en-US"/>
        </w:rPr>
        <w:t xml:space="preserve">jiným zásahem Nabyvatele nebo třetí strany bez předchozího souhlasu Poskytovatele, </w:t>
      </w:r>
    </w:p>
    <w:p>
      <w:pPr>
        <w:pStyle w:val="RLTextlnkuslovan"/>
        <w:numPr>
          <w:ilvl w:val="2"/>
          <w:numId w:val="1"/>
        </w:numPr>
        <w:rPr>
          <w:lang w:eastAsia="en-US"/>
        </w:rPr>
      </w:pPr>
      <w:r>
        <w:rPr>
          <w:lang w:eastAsia="en-US"/>
        </w:rPr>
        <w:t xml:space="preserve">za chybné výsledky nebo chyby v datech způsobené vadou, na kterou byl Nabyvatel upozorněn, </w:t>
      </w:r>
    </w:p>
    <w:p>
      <w:pPr>
        <w:pStyle w:val="RLTextlnkuslovan"/>
        <w:numPr>
          <w:ilvl w:val="2"/>
          <w:numId w:val="1"/>
        </w:numPr>
        <w:rPr>
          <w:lang w:eastAsia="en-US"/>
        </w:rPr>
      </w:pPr>
      <w:r>
        <w:rPr>
          <w:lang w:eastAsia="en-US"/>
        </w:rPr>
        <w:t>kolizí s ostatním programovým vybavením Nabyvatele, o jehož užívání Poskytovatel prokazatelně nevěděl nebo na možnost kolize Poskytovatel předem Nabyvatele upozornil.</w:t>
      </w:r>
    </w:p>
    <w:p>
      <w:pPr>
        <w:pStyle w:val="RLTextlnkuslovan"/>
        <w:numPr>
          <w:ilvl w:val="1"/>
          <w:numId w:val="1"/>
        </w:numPr>
        <w:rPr>
          <w:lang w:eastAsia="en-US"/>
        </w:rPr>
      </w:pPr>
      <w:r>
        <w:rPr>
          <w:lang w:eastAsia="en-US"/>
        </w:rPr>
        <w:t xml:space="preserve">V případě, že Nabyvatel uplatní odstranění vady, za kterou Poskytovatel neodpovídá, považuje se uplatnění odstranění vady za objednávku služeb. Takováto služba bude dodána za cenu služby Poskytovatele platnou v době provedení služby. </w:t>
      </w:r>
    </w:p>
    <w:p>
      <w:pPr>
        <w:pStyle w:val="RLTextlnkuslovan"/>
        <w:numPr>
          <w:ilvl w:val="1"/>
          <w:numId w:val="1"/>
        </w:numPr>
        <w:rPr>
          <w:lang w:eastAsia="en-US"/>
        </w:rPr>
      </w:pPr>
      <w:r>
        <w:rPr>
          <w:lang w:eastAsia="en-US"/>
        </w:rPr>
        <w:t>Vady je Nabyvatel povinen uplatňovat prostřednictvím služby Help Desk nebo Hot Line dle Smlouvy s uvedením závažnosti problému, popisu vady a kdy a za jakých okolností se vada vyskytla, popisu předchozích kroků a ostatních vstupů. Nabyvatel dále uvede preferovanou variantu odstranění vady. Řešením může být:</w:t>
      </w:r>
    </w:p>
    <w:p>
      <w:pPr>
        <w:pStyle w:val="RLTextlnkuslovan"/>
        <w:numPr>
          <w:ilvl w:val="0"/>
          <w:numId w:val="4"/>
        </w:numPr>
        <w:tabs>
          <w:tab w:val="clear" w:pos="708"/>
          <w:tab w:val="left" w:pos="1686" w:leader="none"/>
        </w:tabs>
        <w:ind w:left="1985" w:hanging="425"/>
        <w:rPr>
          <w:lang w:eastAsia="en-US"/>
        </w:rPr>
      </w:pPr>
      <w:r>
        <w:rPr>
          <w:lang w:eastAsia="en-US"/>
        </w:rPr>
        <w:t>odstranění vady Software,</w:t>
      </w:r>
    </w:p>
    <w:p>
      <w:pPr>
        <w:pStyle w:val="RLTextlnkuslovan"/>
        <w:numPr>
          <w:ilvl w:val="0"/>
          <w:numId w:val="4"/>
        </w:numPr>
        <w:ind w:left="1985" w:hanging="425"/>
        <w:rPr>
          <w:lang w:eastAsia="en-US"/>
        </w:rPr>
      </w:pPr>
      <w:r>
        <w:rPr>
          <w:lang w:eastAsia="en-US"/>
        </w:rPr>
        <w:t>poskytnutí přijatelného náhradního řešení problému.</w:t>
      </w:r>
    </w:p>
    <w:p>
      <w:pPr>
        <w:pStyle w:val="RLTextlnkuslovan"/>
        <w:numPr>
          <w:ilvl w:val="1"/>
          <w:numId w:val="1"/>
        </w:numPr>
        <w:rPr>
          <w:lang w:eastAsia="en-US"/>
        </w:rPr>
      </w:pPr>
      <w:bookmarkStart w:id="67" w:name="_Ref481687985"/>
      <w:r>
        <w:rPr>
          <w:lang w:eastAsia="en-US"/>
        </w:rPr>
        <w:t>Poskytovatel má výhradní právo stanovit, zda nahlášené události jsou vadou Software, za kterou Poskytovatel odpovídá a jaká je její závažnost.</w:t>
      </w:r>
      <w:bookmarkEnd w:id="67"/>
    </w:p>
    <w:p>
      <w:pPr>
        <w:pStyle w:val="RLlneksmlouvy"/>
        <w:numPr>
          <w:ilvl w:val="0"/>
          <w:numId w:val="1"/>
        </w:numPr>
        <w:rPr>
          <w:bCs/>
        </w:rPr>
      </w:pPr>
      <w:r>
        <w:rPr/>
        <w:t>PLATEBNÍ PODMÍNKY</w:t>
      </w:r>
    </w:p>
    <w:p>
      <w:pPr>
        <w:pStyle w:val="RLTextlnkuslovan"/>
        <w:numPr>
          <w:ilvl w:val="1"/>
          <w:numId w:val="1"/>
        </w:numPr>
        <w:rPr>
          <w:lang w:eastAsia="en-US"/>
        </w:rPr>
      </w:pPr>
      <w:r>
        <w:rPr>
          <w:lang w:eastAsia="en-US"/>
        </w:rPr>
        <w:t xml:space="preserve">Nabyvatel se zavazuje k úhradě ceny za dodání Software dle čl. </w:t>
      </w:r>
      <w:r>
        <w:rPr>
          <w:lang w:eastAsia="en-US"/>
        </w:rPr>
        <w:fldChar w:fldCharType="begin"/>
      </w:r>
      <w:r>
        <w:rPr>
          <w:lang w:eastAsia="en-US"/>
        </w:rPr>
        <w:instrText xml:space="preserve"> REF _Ref482752821 \r \h </w:instrText>
      </w:r>
      <w:r>
        <w:rPr>
          <w:lang w:eastAsia="en-US"/>
        </w:rPr>
        <w:fldChar w:fldCharType="separate"/>
      </w:r>
      <w:r>
        <w:rPr>
          <w:lang w:eastAsia="en-US"/>
        </w:rPr>
        <w:t>3.</w:t>
      </w:r>
      <w:r>
        <w:rPr>
          <w:lang w:eastAsia="en-US"/>
        </w:rPr>
        <w:fldChar w:fldCharType="end"/>
      </w:r>
      <w:r>
        <w:rPr>
          <w:lang w:eastAsia="en-US"/>
        </w:rPr>
        <w:t xml:space="preserve"> a 4 na základě daňového dokladu (dále jen „</w:t>
      </w:r>
      <w:r>
        <w:rPr>
          <w:b/>
          <w:lang w:eastAsia="en-US"/>
        </w:rPr>
        <w:t>faktura</w:t>
      </w:r>
      <w:r>
        <w:rPr>
          <w:lang w:eastAsia="en-US"/>
        </w:rPr>
        <w:t>“) vystaveného po dodání Software. Dnem uskutečnění zdanitelného plnění je den dodání Software.</w:t>
      </w:r>
    </w:p>
    <w:p>
      <w:pPr>
        <w:pStyle w:val="RLTextlnkuslovan"/>
        <w:numPr>
          <w:ilvl w:val="1"/>
          <w:numId w:val="1"/>
        </w:numPr>
        <w:rPr>
          <w:lang w:eastAsia="en-US"/>
        </w:rPr>
      </w:pPr>
      <w:r>
        <w:rPr>
          <w:lang w:eastAsia="en-US"/>
        </w:rPr>
        <w:t xml:space="preserve">Nabyvatel se zavazuje k úhradě ceny za Implementaci dle čl. 5 na základě faktur vystavených dle servisních listů nebo na základě akceptačního protokolu vystaveného dle odst. </w:t>
      </w:r>
      <w:r>
        <w:rPr>
          <w:lang w:eastAsia="en-US"/>
        </w:rPr>
        <w:fldChar w:fldCharType="begin"/>
      </w:r>
      <w:r>
        <w:rPr>
          <w:lang w:eastAsia="en-US"/>
        </w:rPr>
        <w:instrText xml:space="preserve"> REF _Ref482753076 \r \h </w:instrText>
      </w:r>
      <w:r>
        <w:rPr>
          <w:lang w:eastAsia="en-US"/>
        </w:rPr>
        <w:fldChar w:fldCharType="separate"/>
      </w:r>
      <w:r>
        <w:rPr>
          <w:lang w:eastAsia="en-US"/>
        </w:rPr>
        <w:t>5.2</w:t>
      </w:r>
      <w:r>
        <w:rPr>
          <w:lang w:eastAsia="en-US"/>
        </w:rPr>
        <w:fldChar w:fldCharType="end"/>
      </w:r>
      <w:r>
        <w:rPr>
          <w:lang w:eastAsia="en-US"/>
        </w:rPr>
        <w:t>. Podmínek. Dnem uskutečnění zdanitelného plnění je den poskytnutí služby uvedený v servisním listu či datum podpisu akceptačního protokolu.</w:t>
      </w:r>
    </w:p>
    <w:p>
      <w:pPr>
        <w:pStyle w:val="RLTextlnkuslovan"/>
        <w:numPr>
          <w:ilvl w:val="1"/>
          <w:numId w:val="1"/>
        </w:numPr>
        <w:rPr>
          <w:lang w:eastAsia="en-US"/>
        </w:rPr>
      </w:pPr>
      <w:r>
        <w:rPr>
          <w:lang w:eastAsia="en-US"/>
        </w:rPr>
        <w:t xml:space="preserve">Nabyvatel se zavazuje k úhradě ceny za poskytování Technické podpory dle čl. </w:t>
      </w:r>
      <w:r>
        <w:rPr>
          <w:lang w:eastAsia="en-US"/>
        </w:rPr>
        <w:fldChar w:fldCharType="begin"/>
      </w:r>
      <w:r>
        <w:rPr>
          <w:lang w:eastAsia="en-US"/>
        </w:rPr>
        <w:instrText xml:space="preserve"> REF _Ref482749702 \r \h </w:instrText>
      </w:r>
      <w:r>
        <w:rPr>
          <w:lang w:eastAsia="en-US"/>
        </w:rPr>
        <w:fldChar w:fldCharType="separate"/>
      </w:r>
      <w:r>
        <w:rPr>
          <w:lang w:eastAsia="en-US"/>
        </w:rPr>
        <w:t>6.</w:t>
      </w:r>
      <w:r>
        <w:rPr>
          <w:lang w:eastAsia="en-US"/>
        </w:rPr>
        <w:fldChar w:fldCharType="end"/>
      </w:r>
      <w:r>
        <w:rPr>
          <w:lang w:eastAsia="en-US"/>
        </w:rPr>
        <w:t xml:space="preserve"> ve čtyřech čtvrtletních splátkách ve výši 1/4 roční ceny, a to na základě faktury vystavené vždy do 15. dne prvního měsíce kalendářního čtvrtletí, za které je prováděna platba. V případě, že technická podpora nebude poskytována celé čtvrtletí, vyfakturuje se poměrná část. Dnem uskutečnění zdanitelného plnění je datum vystavení daňového dokladu. Cena Technické podpory může být Poskytovatelem v každém roce platnosti Smlouvy upravována v souladu s oficiální mírou inflace definovanou Českým statistickým úřadem. Tato úprava o definovanou inflaci se promítne každoročně do faktury vystavené v lednu příslušného roku jako změna ceny.</w:t>
      </w:r>
    </w:p>
    <w:p>
      <w:pPr>
        <w:pStyle w:val="RLTextlnkuslovan"/>
        <w:numPr>
          <w:ilvl w:val="1"/>
          <w:numId w:val="1"/>
        </w:numPr>
        <w:rPr>
          <w:lang w:eastAsia="en-US"/>
        </w:rPr>
      </w:pPr>
      <w:r>
        <w:rPr>
          <w:lang w:eastAsia="en-US"/>
        </w:rPr>
        <w:t>Cena za poskytnutí samostatně objednaných dalších služeb bude fakturována na základě servisního listu, a to ve výši stanovené podle ceníku Poskytovatele platného v době poskytnutí služeb. Dnem zdanitelného plnění je den poskytnutí služby.</w:t>
      </w:r>
    </w:p>
    <w:p>
      <w:pPr>
        <w:pStyle w:val="RLTextlnkuslovan"/>
        <w:numPr>
          <w:ilvl w:val="1"/>
          <w:numId w:val="1"/>
        </w:numPr>
        <w:rPr>
          <w:lang w:eastAsia="en-US"/>
        </w:rPr>
      </w:pPr>
      <w:r>
        <w:rPr>
          <w:lang w:eastAsia="en-US"/>
        </w:rPr>
        <w:t>Faktury jsou splatné do 14 dnů ode dne doručení Nabyvateli a budou uhrazeny bezhotovostním převodem ve prospěch bankovního účtu Poskytovatele uvedeného v záhlaví faktury. Faktury se považují za zaplacené připsáním příslušné částky ve prospěch bankovního účtu Poskytovatele.</w:t>
      </w:r>
    </w:p>
    <w:p>
      <w:pPr>
        <w:pStyle w:val="RLTextlnkuslovan"/>
        <w:numPr>
          <w:ilvl w:val="1"/>
          <w:numId w:val="1"/>
        </w:numPr>
        <w:rPr>
          <w:lang w:eastAsia="en-US"/>
        </w:rPr>
      </w:pPr>
      <w:r>
        <w:rPr>
          <w:lang w:eastAsia="en-US"/>
        </w:rPr>
        <w:t xml:space="preserve">Smluvní strany souhlasí s vystavováním a zasíláním faktur v elektronické podobě. </w:t>
      </w:r>
    </w:p>
    <w:p>
      <w:pPr>
        <w:pStyle w:val="RLTextlnkuslovan"/>
        <w:numPr>
          <w:ilvl w:val="1"/>
          <w:numId w:val="1"/>
        </w:numPr>
        <w:rPr>
          <w:lang w:eastAsia="en-US"/>
        </w:rPr>
      </w:pPr>
      <w:r>
        <w:rPr>
          <w:lang w:eastAsia="en-US"/>
        </w:rPr>
        <w:t>Smluvní strany se dohodly, že dojde-li v průběhu plnění předmětu smlouvy ke změně zákonné sazby DPH, bude Poskytovatel od okamžiku nabytí účinnosti změny zákonné sazby DPH účtovat platnou sazbu DPH. O této skutečnosti není nutné uzavírat dodatek k této Smlouvě.</w:t>
      </w:r>
    </w:p>
    <w:p>
      <w:pPr>
        <w:pStyle w:val="RLTextlnkuslovan"/>
        <w:numPr>
          <w:ilvl w:val="1"/>
          <w:numId w:val="1"/>
        </w:numPr>
        <w:rPr>
          <w:bCs/>
        </w:rPr>
      </w:pPr>
      <w:r>
        <w:rPr/>
        <w:t>Poskytovatel je oprávněn pozastavit poskytování Služeb, včetně pozastavení účinnosti Licence, Nabyvateli bez náhrady, pokud bude Nabyvatel v prodlení s plněním jakéhokoliv peněžitého dluhu podle Smlouvy delším než 90 dnů, a to až do doby jeho úplného uhrazení.</w:t>
      </w:r>
    </w:p>
    <w:p>
      <w:pPr>
        <w:pStyle w:val="RLlneksmlouvy"/>
        <w:numPr>
          <w:ilvl w:val="0"/>
          <w:numId w:val="1"/>
        </w:numPr>
        <w:rPr>
          <w:bCs/>
        </w:rPr>
      </w:pPr>
      <w:r>
        <w:rPr/>
        <w:t>SANKCE A LIMITACE NÁHRADY ŠKODY</w:t>
      </w:r>
    </w:p>
    <w:p>
      <w:pPr>
        <w:pStyle w:val="RLTextlnkuslovan"/>
        <w:numPr>
          <w:ilvl w:val="1"/>
          <w:numId w:val="1"/>
        </w:numPr>
        <w:rPr>
          <w:lang w:eastAsia="en-US"/>
        </w:rPr>
      </w:pPr>
      <w:r>
        <w:rPr>
          <w:lang w:eastAsia="en-US"/>
        </w:rPr>
        <w:t xml:space="preserve">V případě prodlení Nabyvatele se zaplacením jakéhokoliv dluhu podle této Smlouvy, je Poskytovatel oprávněn požadovat úrok z prodlení ve výši 0,05 % z dlužné částky za každý započatý den prodlení. </w:t>
      </w:r>
    </w:p>
    <w:p>
      <w:pPr>
        <w:pStyle w:val="RLTextlnkuslovan"/>
        <w:numPr>
          <w:ilvl w:val="1"/>
          <w:numId w:val="1"/>
        </w:numPr>
        <w:rPr>
          <w:lang w:eastAsia="en-US"/>
        </w:rPr>
      </w:pPr>
      <w:r>
        <w:rPr>
          <w:lang w:eastAsia="en-US"/>
        </w:rPr>
        <w:t>Smluvní strany se dohodly, že výše jakékoliv škody vyplývající z porušení této Smlouvy anebo z plnění této Smlouvy, kterou jedna Strana může požadovat po druhé Straně, je pro všechny události (mající za následek vznik takové škody) jenž nastanou během jednoho roku, omezena částkou odpovídající výši ceny za poskytování Základní technické podpory.</w:t>
      </w:r>
    </w:p>
    <w:p>
      <w:pPr>
        <w:pStyle w:val="RLTextlnkuslovan"/>
        <w:numPr>
          <w:ilvl w:val="1"/>
          <w:numId w:val="1"/>
        </w:numPr>
        <w:rPr>
          <w:lang w:eastAsia="en-US"/>
        </w:rPr>
      </w:pPr>
      <w:r>
        <w:rPr>
          <w:lang w:eastAsia="en-US"/>
        </w:rPr>
        <w:t>Nabyvatel bere na vědomí, že Poskytovatel neodpovídá za újmu Nabyvatele vzniklou Nabyvateli nesprávným zadáním, nesprávným použitím Software Nabyvateli nebo neoprávněným zásahem do Software ze strany Nabyvatele, či způsobenou mimořádnou nepředvídatelnou a nepřekonatelnou překážkou vzniklou nezávisle na vůli Poskytovatele.</w:t>
      </w:r>
    </w:p>
    <w:p>
      <w:pPr>
        <w:pStyle w:val="RLlneksmlouvy"/>
        <w:numPr>
          <w:ilvl w:val="0"/>
          <w:numId w:val="1"/>
        </w:numPr>
        <w:rPr>
          <w:bCs/>
        </w:rPr>
      </w:pPr>
      <w:r>
        <w:rPr/>
        <w:t>ODŠKODNĚNÍ PŘI NÁROKU TŘETÍ OSOBY</w:t>
      </w:r>
    </w:p>
    <w:p>
      <w:pPr>
        <w:pStyle w:val="RLTextlnkuslovan"/>
        <w:numPr>
          <w:ilvl w:val="1"/>
          <w:numId w:val="1"/>
        </w:numPr>
        <w:rPr>
          <w:lang w:eastAsia="en-US"/>
        </w:rPr>
      </w:pPr>
      <w:r>
        <w:rPr>
          <w:lang w:eastAsia="en-US"/>
        </w:rPr>
        <w:t xml:space="preserve">Software, testovací programy, dokumentace a související materiály dle této Smlouvy jsou chráněny právy duševního vlastnictví, která náležejí Poskytovateli. </w:t>
      </w:r>
    </w:p>
    <w:p>
      <w:pPr>
        <w:pStyle w:val="RLTextlnkuslovan"/>
        <w:numPr>
          <w:ilvl w:val="1"/>
          <w:numId w:val="1"/>
        </w:numPr>
        <w:rPr>
          <w:lang w:eastAsia="en-US"/>
        </w:rPr>
      </w:pPr>
      <w:r>
        <w:rPr>
          <w:lang w:eastAsia="en-US"/>
        </w:rPr>
        <w:t>Vznese-li jakákoliv třetí osoba nárok, že v důsledku užívání Software Nabyvatelem podle této Smlouvy dochází k neoprávněnému zásahu do práv této třetí osoby, je Nabyvatel povinen Poskytovatele bez prodlení informovat. Poskytovatel podá Nabyvateli neprodleně stanovisko, ve kterém je povinen se zejména vyjádřit k oprávněnosti vznesených nároků a navrhnout další postup. Strany se zavazují spolupracovat při zjednání nápravy.</w:t>
      </w:r>
    </w:p>
    <w:p>
      <w:pPr>
        <w:pStyle w:val="RLTextlnkuslovan"/>
        <w:numPr>
          <w:ilvl w:val="1"/>
          <w:numId w:val="1"/>
        </w:numPr>
        <w:rPr>
          <w:lang w:eastAsia="en-US"/>
        </w:rPr>
      </w:pPr>
      <w:bookmarkStart w:id="68" w:name="_Ref482754300"/>
      <w:r>
        <w:rPr>
          <w:lang w:eastAsia="en-US"/>
        </w:rPr>
        <w:t>Bude-li soudem či rozhodčím soudem pravomocně uznán nárok jakékoliv třetí osoby vyplývající z neoprávněného zásahu do jejích práv v důsledku užívání Software Nabyvatelem podle této Smlouvy, pak se Poskytovatel, za podmínek že:</w:t>
      </w:r>
      <w:bookmarkEnd w:id="68"/>
    </w:p>
    <w:p>
      <w:pPr>
        <w:pStyle w:val="RLTextlnkuslovan"/>
        <w:numPr>
          <w:ilvl w:val="2"/>
          <w:numId w:val="1"/>
        </w:numPr>
        <w:rPr>
          <w:lang w:eastAsia="en-US"/>
        </w:rPr>
      </w:pPr>
      <w:r>
        <w:rPr>
          <w:lang w:eastAsia="en-US"/>
        </w:rPr>
        <w:t>Nabyvatel o takovém nároku Poskytovatele vyrozuměl bez zbytečného odkladu poté, co se o něm dozvěděl,</w:t>
      </w:r>
    </w:p>
    <w:p>
      <w:pPr>
        <w:pStyle w:val="RLTextlnkuslovan"/>
        <w:numPr>
          <w:ilvl w:val="2"/>
          <w:numId w:val="1"/>
        </w:numPr>
        <w:rPr>
          <w:lang w:eastAsia="en-US"/>
        </w:rPr>
      </w:pPr>
      <w:r>
        <w:rPr>
          <w:lang w:eastAsia="en-US"/>
        </w:rPr>
        <w:t xml:space="preserve">poskytl mu v souvislosti s tím veškeré potřebné informace a součinnost, </w:t>
      </w:r>
    </w:p>
    <w:p>
      <w:pPr>
        <w:pStyle w:val="RLTextlnkuslovan"/>
        <w:numPr>
          <w:ilvl w:val="2"/>
          <w:numId w:val="1"/>
        </w:numPr>
        <w:rPr>
          <w:lang w:eastAsia="en-US"/>
        </w:rPr>
      </w:pPr>
      <w:r>
        <w:rPr>
          <w:lang w:eastAsia="en-US"/>
        </w:rPr>
        <w:t xml:space="preserve">umožnil Poskytovateli se aktivně účastnit soudního nebo rozhodčího řízení na straně Nabyvatele, zejména uplatňovat tvrzení a předkládat důkazy na svou a Nabyvatelovu obranu </w:t>
      </w:r>
    </w:p>
    <w:p>
      <w:pPr>
        <w:pStyle w:val="RLTextlnkuslovan"/>
        <w:numPr>
          <w:ilvl w:val="2"/>
          <w:numId w:val="1"/>
        </w:numPr>
        <w:rPr>
          <w:lang w:eastAsia="en-US"/>
        </w:rPr>
      </w:pPr>
      <w:r>
        <w:rPr>
          <w:lang w:eastAsia="en-US"/>
        </w:rPr>
        <w:t>Nabyvatel bez předchozího písemného souhlasu Poskytovatele neuznal nárok třetí osoby ani s ním neuzavřel soudní či mimosoudní smír</w:t>
      </w:r>
    </w:p>
    <w:p>
      <w:pPr>
        <w:pStyle w:val="RLTextlnkuslovan"/>
        <w:numPr>
          <w:ilvl w:val="0"/>
          <w:numId w:val="0"/>
        </w:numPr>
        <w:ind w:left="1474" w:hanging="0"/>
        <w:rPr>
          <w:lang w:eastAsia="en-US"/>
        </w:rPr>
      </w:pPr>
      <w:r>
        <w:rPr>
          <w:lang w:eastAsia="en-US"/>
        </w:rPr>
        <w:t>zavazuje Nabyvateli:</w:t>
      </w:r>
    </w:p>
    <w:p>
      <w:pPr>
        <w:pStyle w:val="RLTextlnkuslovan"/>
        <w:numPr>
          <w:ilvl w:val="2"/>
          <w:numId w:val="1"/>
        </w:numPr>
        <w:rPr>
          <w:lang w:eastAsia="en-US"/>
        </w:rPr>
      </w:pPr>
      <w:r>
        <w:rPr>
          <w:lang w:eastAsia="en-US"/>
        </w:rPr>
        <w:t>nahradit to, co bude Nabyvatel povinen podle pravomocného rozsudku či nálezu uhradit třetí osobě;</w:t>
      </w:r>
    </w:p>
    <w:p>
      <w:pPr>
        <w:pStyle w:val="RLTextlnkuslovan"/>
        <w:numPr>
          <w:ilvl w:val="2"/>
          <w:numId w:val="1"/>
        </w:numPr>
        <w:rPr>
          <w:lang w:eastAsia="en-US"/>
        </w:rPr>
      </w:pPr>
      <w:r>
        <w:rPr>
          <w:lang w:eastAsia="en-US"/>
        </w:rPr>
        <w:t xml:space="preserve">nahradit další škodu, která Nabyvateli prokazatelně vznikla, avšak pouze do výše Ceny za agendu Software, které se nárok třetí strany týká, a kterou Nabyvatel Poskytovateli podle této Smlouvy již uhradil; </w:t>
      </w:r>
    </w:p>
    <w:p>
      <w:pPr>
        <w:pStyle w:val="RLTextlnkuslovan"/>
        <w:numPr>
          <w:ilvl w:val="2"/>
          <w:numId w:val="1"/>
        </w:numPr>
        <w:rPr>
          <w:lang w:eastAsia="en-US"/>
        </w:rPr>
      </w:pPr>
      <w:r>
        <w:rPr>
          <w:lang w:eastAsia="en-US"/>
        </w:rPr>
        <w:t xml:space="preserve">podle svého rozhodnutí a na své náklady </w:t>
      </w:r>
    </w:p>
    <w:p>
      <w:pPr>
        <w:pStyle w:val="RLTextlnkuslovan"/>
        <w:numPr>
          <w:ilvl w:val="3"/>
          <w:numId w:val="1"/>
        </w:numPr>
        <w:rPr>
          <w:lang w:eastAsia="en-US"/>
        </w:rPr>
      </w:pPr>
      <w:r>
        <w:rPr>
          <w:lang w:eastAsia="en-US"/>
        </w:rPr>
        <w:t xml:space="preserve">zajistit Nabyvateli oprávnění Software i nadále užívat; nebo </w:t>
      </w:r>
    </w:p>
    <w:p>
      <w:pPr>
        <w:pStyle w:val="RLTextlnkuslovan"/>
        <w:numPr>
          <w:ilvl w:val="3"/>
          <w:numId w:val="1"/>
        </w:numPr>
        <w:rPr>
          <w:lang w:eastAsia="en-US"/>
        </w:rPr>
      </w:pPr>
      <w:r>
        <w:rPr>
          <w:lang w:eastAsia="en-US"/>
        </w:rPr>
        <w:t>Software v nezbytně nutném rozsahu a v přiměřeném termínu upravit nebo nahradit tak, aby byla odstraněna příčina vzniku takového nároku, a aby užívání Software nebylo podstatným způsobem nepříznivě ovlivněno,</w:t>
      </w:r>
    </w:p>
    <w:p>
      <w:pPr>
        <w:pStyle w:val="RLTextlnkuslovan"/>
        <w:numPr>
          <w:ilvl w:val="3"/>
          <w:numId w:val="1"/>
        </w:numPr>
        <w:rPr>
          <w:lang w:eastAsia="en-US"/>
        </w:rPr>
      </w:pPr>
      <w:r>
        <w:rPr>
          <w:lang w:eastAsia="en-US"/>
        </w:rPr>
        <w:t>přičemž pokud Poskytovatel zjistí, že ani jedna z těchto dvou možností není realizovatelná, dohodne s Nabyvatelem písemně další postup.</w:t>
      </w:r>
    </w:p>
    <w:p>
      <w:pPr>
        <w:pStyle w:val="RLTextlnkuslovan"/>
        <w:numPr>
          <w:ilvl w:val="1"/>
          <w:numId w:val="1"/>
        </w:numPr>
        <w:rPr>
          <w:lang w:eastAsia="en-US"/>
        </w:rPr>
      </w:pPr>
      <w:r>
        <w:rPr>
          <w:lang w:eastAsia="en-US"/>
        </w:rPr>
        <w:t xml:space="preserve">Ujednání odst. </w:t>
      </w:r>
      <w:r>
        <w:rPr>
          <w:lang w:eastAsia="en-US"/>
        </w:rPr>
        <w:fldChar w:fldCharType="begin"/>
      </w:r>
      <w:r>
        <w:rPr>
          <w:lang w:eastAsia="en-US"/>
        </w:rPr>
        <w:instrText xml:space="preserve"> REF _Ref482754300 \r \h </w:instrText>
      </w:r>
      <w:r>
        <w:rPr>
          <w:lang w:eastAsia="en-US"/>
        </w:rPr>
        <w:fldChar w:fldCharType="separate"/>
      </w:r>
      <w:r>
        <w:rPr>
          <w:lang w:eastAsia="en-US"/>
        </w:rPr>
        <w:t>10.3</w:t>
      </w:r>
      <w:r>
        <w:rPr>
          <w:lang w:eastAsia="en-US"/>
        </w:rPr>
        <w:fldChar w:fldCharType="end"/>
      </w:r>
      <w:r>
        <w:rPr>
          <w:lang w:eastAsia="en-US"/>
        </w:rPr>
        <w:t xml:space="preserve"> se neuplatní v případech, kdy Nabyvatel užíval Software v rozporu s touto Smlouvou anebo jinými písemnými ujednáními mezi Stranami. </w:t>
      </w:r>
    </w:p>
    <w:p>
      <w:pPr>
        <w:pStyle w:val="RLTextlnkuslovan"/>
        <w:numPr>
          <w:ilvl w:val="1"/>
          <w:numId w:val="1"/>
        </w:numPr>
        <w:rPr>
          <w:lang w:eastAsia="en-US"/>
        </w:rPr>
      </w:pPr>
      <w:r>
        <w:rPr>
          <w:lang w:eastAsia="en-US"/>
        </w:rPr>
        <w:t xml:space="preserve">Ujednání odst. </w:t>
      </w:r>
      <w:r>
        <w:rPr>
          <w:lang w:eastAsia="en-US"/>
        </w:rPr>
        <w:fldChar w:fldCharType="begin"/>
      </w:r>
      <w:r>
        <w:rPr>
          <w:lang w:eastAsia="en-US"/>
        </w:rPr>
        <w:instrText xml:space="preserve"> REF _Ref482754300 \r \h </w:instrText>
      </w:r>
      <w:r>
        <w:rPr>
          <w:lang w:eastAsia="en-US"/>
        </w:rPr>
        <w:fldChar w:fldCharType="separate"/>
      </w:r>
      <w:r>
        <w:rPr>
          <w:lang w:eastAsia="en-US"/>
        </w:rPr>
        <w:t>10.3</w:t>
      </w:r>
      <w:r>
        <w:rPr>
          <w:lang w:eastAsia="en-US"/>
        </w:rPr>
        <w:fldChar w:fldCharType="end"/>
      </w:r>
      <w:r>
        <w:rPr>
          <w:lang w:eastAsia="en-US"/>
        </w:rPr>
        <w:t xml:space="preserve"> představuje veškeré nároky, které může Nabyvatel vůči Poskytovateli uplatnit v případě, kdy v důsledku užívání Software Nabyvatelem podle této Smlouvy dojde k neoprávněnému zásahu do práv třetí osoby.</w:t>
      </w:r>
    </w:p>
    <w:p>
      <w:pPr>
        <w:pStyle w:val="RLlneksmlouvy"/>
        <w:numPr>
          <w:ilvl w:val="0"/>
          <w:numId w:val="1"/>
        </w:numPr>
        <w:rPr>
          <w:bCs/>
        </w:rPr>
      </w:pPr>
      <w:r>
        <w:rPr/>
        <w:t>OCHRANA DŮVĚRNÝCH INFORMACÍ</w:t>
      </w:r>
    </w:p>
    <w:p>
      <w:pPr>
        <w:pStyle w:val="RLTextlnkuslovan"/>
        <w:numPr>
          <w:ilvl w:val="1"/>
          <w:numId w:val="1"/>
        </w:numPr>
        <w:rPr>
          <w:lang w:eastAsia="en-US"/>
        </w:rPr>
      </w:pPr>
      <w:r>
        <w:rPr>
          <w:lang w:eastAsia="en-US"/>
        </w:rPr>
        <w:t>Pokud není v této Smlouvě uvedeno jinak, žádná ze Smluvních stran nesdělí žádné třetí osobě pro jakýkoli účel žádné informace, které tato Strana získá nebo dříve získala v souvislosti s plněním této Smlouvy nebo jejím projednáváním, a které byly označeny za důvěrné (dále jen „</w:t>
      </w:r>
      <w:r>
        <w:rPr>
          <w:b/>
          <w:lang w:eastAsia="en-US"/>
        </w:rPr>
        <w:t>Důvěrné informace</w:t>
      </w:r>
      <w:r>
        <w:rPr>
          <w:lang w:eastAsia="en-US"/>
        </w:rPr>
        <w:t>“). Za Důvěrné informace se považují veškerá ustanovení této Smlouvy. Důvěrné informace však nezahrnují informace, které:</w:t>
      </w:r>
    </w:p>
    <w:p>
      <w:pPr>
        <w:pStyle w:val="RLTextlnkuslovan"/>
        <w:numPr>
          <w:ilvl w:val="2"/>
          <w:numId w:val="1"/>
        </w:numPr>
        <w:rPr>
          <w:lang w:eastAsia="en-US"/>
        </w:rPr>
      </w:pPr>
      <w:r>
        <w:rPr>
          <w:lang w:eastAsia="en-US"/>
        </w:rPr>
        <w:t>jsou v době použití nebo sdělení veřejně dostupné;</w:t>
      </w:r>
    </w:p>
    <w:p>
      <w:pPr>
        <w:pStyle w:val="RLTextlnkuslovan"/>
        <w:numPr>
          <w:ilvl w:val="2"/>
          <w:numId w:val="1"/>
        </w:numPr>
        <w:rPr>
          <w:lang w:eastAsia="en-US"/>
        </w:rPr>
      </w:pPr>
      <w:r>
        <w:rPr>
          <w:lang w:eastAsia="en-US"/>
        </w:rPr>
        <w:t>se stanou veřejně dostupnými (jinak než nepovoleným zveřejněním nebo použitím); nebo</w:t>
      </w:r>
    </w:p>
    <w:p>
      <w:pPr>
        <w:pStyle w:val="RLTextlnkuslovan"/>
        <w:numPr>
          <w:ilvl w:val="2"/>
          <w:numId w:val="1"/>
        </w:numPr>
        <w:rPr>
          <w:lang w:eastAsia="en-US"/>
        </w:rPr>
      </w:pPr>
      <w:r>
        <w:rPr>
          <w:lang w:eastAsia="en-US"/>
        </w:rPr>
        <w:t>jsou poskytnuty Straně třetí stranou, která má k těmto informacím právo a je oprávněna je zpřístupnit nebo použít.</w:t>
      </w:r>
    </w:p>
    <w:p>
      <w:pPr>
        <w:pStyle w:val="RLTextlnkuslovan"/>
        <w:numPr>
          <w:ilvl w:val="1"/>
          <w:numId w:val="1"/>
        </w:numPr>
        <w:rPr>
          <w:lang w:eastAsia="en-US"/>
        </w:rPr>
      </w:pPr>
      <w:r>
        <w:rPr>
          <w:lang w:eastAsia="en-US"/>
        </w:rPr>
        <w:t xml:space="preserve">Žádná ze Smluvních stran Důvěrné informace neposkytne žádné třetí osobě bez předchozího písemného souhlasu druhé Strany s výjimkou případů, kdy </w:t>
      </w:r>
    </w:p>
    <w:p>
      <w:pPr>
        <w:pStyle w:val="RLTextlnkuslovan"/>
        <w:numPr>
          <w:ilvl w:val="2"/>
          <w:numId w:val="1"/>
        </w:numPr>
        <w:rPr>
          <w:lang w:eastAsia="en-US"/>
        </w:rPr>
      </w:pPr>
      <w:r>
        <w:rPr>
          <w:lang w:eastAsia="en-US"/>
        </w:rPr>
        <w:t>zveřejnění nebo poskytnutí Důvěrné informace vyžaduje zákon nebo jiný právní předpis nebo je vyžadováno soudem či správním či podobným orgánem</w:t>
      </w:r>
    </w:p>
    <w:p>
      <w:pPr>
        <w:pStyle w:val="RLTextlnkuslovan"/>
        <w:numPr>
          <w:ilvl w:val="2"/>
          <w:numId w:val="1"/>
        </w:numPr>
        <w:rPr>
          <w:lang w:eastAsia="en-US"/>
        </w:rPr>
      </w:pPr>
      <w:r>
        <w:rPr>
          <w:lang w:eastAsia="en-US"/>
        </w:rPr>
        <w:t>Důvěrná informace je poskytována právním zástupcům, účetním, auditorům, odborným poradcům nebo agenturám provádějícím rating ke splnění jejich úkolů, které nejsou v rozporu s účelem této Smlouvy</w:t>
      </w:r>
    </w:p>
    <w:p>
      <w:pPr>
        <w:pStyle w:val="RLTextlnkuslovan"/>
        <w:numPr>
          <w:ilvl w:val="2"/>
          <w:numId w:val="1"/>
        </w:numPr>
        <w:rPr>
          <w:lang w:eastAsia="en-US"/>
        </w:rPr>
      </w:pPr>
      <w:r>
        <w:rPr>
          <w:lang w:eastAsia="en-US"/>
        </w:rPr>
        <w:t xml:space="preserve">jde o sdělení informací smluvním partnerům Poskytovatele, a to v rozsahu nezbytně nutném pro účely plnění této Smlouvy </w:t>
      </w:r>
    </w:p>
    <w:p>
      <w:pPr>
        <w:pStyle w:val="RLTextlnkuslovan"/>
        <w:numPr>
          <w:ilvl w:val="1"/>
          <w:numId w:val="1"/>
        </w:numPr>
        <w:rPr>
          <w:lang w:eastAsia="en-US"/>
        </w:rPr>
      </w:pPr>
      <w:r>
        <w:rPr>
          <w:lang w:eastAsia="en-US"/>
        </w:rPr>
        <w:t>Nabyvatel uděluje svolení, aby Poskytovatel vedl záznamy o své činnosti podle této Smlouvy, zejména uváděl Nabyvatele v seznamu zákazníků, vedl záznamy o rozsahu užití softwaru a poskytoval tyto informace svým smluvním partnerům, jsou-li jimi požadovány.</w:t>
      </w:r>
    </w:p>
    <w:p>
      <w:pPr>
        <w:pStyle w:val="RLTextlnkuslovan"/>
        <w:numPr>
          <w:ilvl w:val="1"/>
          <w:numId w:val="1"/>
        </w:numPr>
        <w:rPr>
          <w:lang w:eastAsia="en-US"/>
        </w:rPr>
      </w:pPr>
      <w:r>
        <w:rPr>
          <w:lang w:eastAsia="en-US"/>
        </w:rPr>
        <w:t xml:space="preserve">Ustanovení tohoto článku zůstávají platná i účinná i po zániku této Smlouvy. </w:t>
      </w:r>
    </w:p>
    <w:p>
      <w:pPr>
        <w:pStyle w:val="RLTextlnkuslovan"/>
        <w:numPr>
          <w:ilvl w:val="1"/>
          <w:numId w:val="1"/>
        </w:numPr>
        <w:rPr>
          <w:lang w:eastAsia="en-US"/>
        </w:rPr>
      </w:pPr>
      <w:r>
        <w:rPr>
          <w:lang w:eastAsia="en-US"/>
        </w:rPr>
        <w:t>V případě porušení povinnosti plynoucích z tohoto článku Smlouvy je druhá Strana oprávněna účtovat Straně, jež se porušení dopustila, smluvní pokutu ve výši 10.000 Kč za každý případ takového porušení. Tím není dotčeno právo na náhradu škody převyšující tuto smluvní pokutu.</w:t>
      </w:r>
    </w:p>
    <w:p>
      <w:pPr>
        <w:pStyle w:val="RLlneksmlouvy"/>
        <w:numPr>
          <w:ilvl w:val="0"/>
          <w:numId w:val="1"/>
        </w:numPr>
        <w:rPr>
          <w:bCs/>
        </w:rPr>
      </w:pPr>
      <w:r>
        <w:rPr/>
        <w:t>OCHRANA OSOBNÍCH ÚDAJŮ</w:t>
      </w:r>
    </w:p>
    <w:p>
      <w:pPr>
        <w:pStyle w:val="RLTextlnkuslovan"/>
        <w:numPr>
          <w:ilvl w:val="1"/>
          <w:numId w:val="1"/>
        </w:numPr>
        <w:rPr>
          <w:bCs/>
        </w:rPr>
      </w:pPr>
      <w:r>
        <w:rPr/>
        <w:t>S ohledem na předmět této Smlouvy smluvní strany předpokládají, že Poskytovatel může zpracovávat osobní údaje nebo zvláštní kategorie osobních údajů (citlivé údaje) (dále společně jen „</w:t>
      </w:r>
      <w:r>
        <w:rPr>
          <w:b/>
        </w:rPr>
        <w:t>osobní údaje</w:t>
      </w:r>
      <w:r>
        <w:rPr/>
        <w:t>“) obsažené v datech koncových uživatelů Software či osob evidovaných v Softwaru (dále jen „</w:t>
      </w:r>
      <w:r>
        <w:rPr>
          <w:b/>
        </w:rPr>
        <w:t>subjekty údajů</w:t>
      </w:r>
      <w:r>
        <w:rPr/>
        <w:t xml:space="preserve">“). </w:t>
      </w:r>
    </w:p>
    <w:p>
      <w:pPr>
        <w:pStyle w:val="RLTextlnkuslovan"/>
        <w:numPr>
          <w:ilvl w:val="1"/>
          <w:numId w:val="1"/>
        </w:numPr>
        <w:rPr>
          <w:bCs/>
        </w:rPr>
      </w:pPr>
      <w:r>
        <w:rPr/>
        <w:t xml:space="preserve">Při zpracování osobních údajů vystupuje Poskytovatel jako zpracovatel, a to za podmínek uvedených níže v tomto článku. </w:t>
      </w:r>
    </w:p>
    <w:p>
      <w:pPr>
        <w:pStyle w:val="RLTextlnkuslovan"/>
        <w:numPr>
          <w:ilvl w:val="1"/>
          <w:numId w:val="1"/>
        </w:numPr>
        <w:rPr>
          <w:bCs/>
        </w:rPr>
      </w:pPr>
      <w:r>
        <w:rPr/>
        <w:t>Pověření</w:t>
      </w:r>
    </w:p>
    <w:p>
      <w:pPr>
        <w:pStyle w:val="RLTextlnkuslovan"/>
        <w:numPr>
          <w:ilvl w:val="2"/>
          <w:numId w:val="1"/>
        </w:numPr>
        <w:rPr>
          <w:bCs/>
        </w:rPr>
      </w:pPr>
      <w:r>
        <w:rPr/>
        <w:t xml:space="preserve">Nabyvatel tímto pověřuje Poskytovatele zpracováním osobních údajů subjektů údajů v rámci plnění Smlouvy. Poskytovatel je povinen zpracovávat osobní údaje pro Nabyvatele na základě jeho pokynů a v rozsahu nezbytném k řádnému plnění povinností Poskytovatele vyplývajících ze Smlouvy. </w:t>
      </w:r>
    </w:p>
    <w:p>
      <w:pPr>
        <w:pStyle w:val="RLTextlnkuslovan"/>
        <w:numPr>
          <w:ilvl w:val="2"/>
          <w:numId w:val="1"/>
        </w:numPr>
        <w:rPr>
          <w:bCs/>
        </w:rPr>
      </w:pPr>
      <w:r>
        <w:rPr/>
        <w:t>Nabyvatel uzavřením Smlouvy potvrzuje, že osobní údaje, které jsou předmětem zpracování, jsou přesné, byly shromážděny v souladu s právními předpisy na ochranu osobních údajů, jsou aktuálně Nabyvatelem zpracovávány v souladu s právními předpisy na ochranu osobních údajů a že Nabyvatel plní veškeré povinnosti správce dle právních předpisů na ochranu osobních údajů.</w:t>
      </w:r>
    </w:p>
    <w:p>
      <w:pPr>
        <w:pStyle w:val="RLTextlnkuslovan"/>
        <w:numPr>
          <w:ilvl w:val="1"/>
          <w:numId w:val="1"/>
        </w:numPr>
        <w:rPr>
          <w:bCs/>
        </w:rPr>
      </w:pPr>
      <w:r>
        <w:rPr/>
        <w:t>Předmět zpracování, kategorie subjektů údajů a typ osobních údajů</w:t>
      </w:r>
    </w:p>
    <w:p>
      <w:pPr>
        <w:pStyle w:val="RLTextlnkuslovan"/>
        <w:numPr>
          <w:ilvl w:val="2"/>
          <w:numId w:val="1"/>
        </w:numPr>
        <w:rPr>
          <w:bCs/>
        </w:rPr>
      </w:pPr>
      <w:r>
        <w:rPr/>
        <w:t>Předmětem zpracování jsou osobní údaje subjektů údajů, které jsou zpracovávány v rámci poskytovaného Software.</w:t>
      </w:r>
    </w:p>
    <w:p>
      <w:pPr>
        <w:pStyle w:val="RLTextlnkuslovan"/>
        <w:numPr>
          <w:ilvl w:val="2"/>
          <w:numId w:val="1"/>
        </w:numPr>
        <w:rPr>
          <w:bCs/>
        </w:rPr>
      </w:pPr>
      <w:r>
        <w:rPr/>
        <w:t xml:space="preserve">O rozsahu zpracování rozhoduje vždy výhradně Nabyvatel. </w:t>
      </w:r>
    </w:p>
    <w:p>
      <w:pPr>
        <w:pStyle w:val="RLTextlnkuslovan"/>
        <w:numPr>
          <w:ilvl w:val="1"/>
          <w:numId w:val="1"/>
        </w:numPr>
        <w:rPr>
          <w:bCs/>
        </w:rPr>
      </w:pPr>
      <w:r>
        <w:rPr/>
        <w:t>Povaha a účel zpracování</w:t>
      </w:r>
    </w:p>
    <w:p>
      <w:pPr>
        <w:pStyle w:val="RLTextlnkuslovan"/>
        <w:numPr>
          <w:ilvl w:val="2"/>
          <w:numId w:val="1"/>
        </w:numPr>
        <w:rPr>
          <w:bCs/>
        </w:rPr>
      </w:pPr>
      <w:r>
        <w:rPr/>
        <w:t>Poskytovatel bude zpracovávat osobní údaje automatizovaně s přispěním výpočetní techniky. Příležitostně může docházet k ručnímu zpracování dat.</w:t>
      </w:r>
    </w:p>
    <w:p>
      <w:pPr>
        <w:pStyle w:val="RLTextlnkuslovan"/>
        <w:numPr>
          <w:ilvl w:val="2"/>
          <w:numId w:val="1"/>
        </w:numPr>
        <w:rPr>
          <w:bCs/>
        </w:rPr>
      </w:pPr>
      <w:r>
        <w:rPr/>
        <w:t>Účel zpracování je definován účelem Software.</w:t>
      </w:r>
    </w:p>
    <w:p>
      <w:pPr>
        <w:pStyle w:val="RLTextlnkuslovan"/>
        <w:numPr>
          <w:ilvl w:val="1"/>
          <w:numId w:val="1"/>
        </w:numPr>
        <w:rPr>
          <w:bCs/>
        </w:rPr>
      </w:pPr>
      <w:r>
        <w:rPr/>
        <w:t xml:space="preserve">Doba zpracování </w:t>
      </w:r>
    </w:p>
    <w:p>
      <w:pPr>
        <w:pStyle w:val="RLTextlnkuslovan"/>
        <w:numPr>
          <w:ilvl w:val="2"/>
          <w:numId w:val="1"/>
        </w:numPr>
        <w:rPr>
          <w:bCs/>
        </w:rPr>
      </w:pPr>
      <w:r>
        <w:rPr/>
        <w:t>Zpracování osobních údajů bude probíhat po dobu účinnosti Smlouvy. Povinnosti Poskytovatele týkající se ochrany osobních údajů se Poskytovatel zavazuje plnit po celou dobu účinnosti Smlouvy, pokud ze Smlouvy nevyplývá, že mají trvat i po zániku její účinnosti.</w:t>
      </w:r>
    </w:p>
    <w:p>
      <w:pPr>
        <w:pStyle w:val="RLTextlnkuslovan"/>
        <w:numPr>
          <w:ilvl w:val="1"/>
          <w:numId w:val="1"/>
        </w:numPr>
        <w:rPr>
          <w:bCs/>
        </w:rPr>
      </w:pPr>
      <w:r>
        <w:rPr/>
        <w:t>Nabyvatel, jako správce osobních údajů, uzavřením Smlouvy prohlašuje, že ke dni uzavření Smlouvy řádně plní všechny své povinnosti dle právních předpisů na ochranu osobních údajů, a zavazuje se tyto povinnosti plnit po celou dobu trvání Smlouvy.</w:t>
      </w:r>
    </w:p>
    <w:p>
      <w:pPr>
        <w:pStyle w:val="RLTextlnkuslovan"/>
        <w:numPr>
          <w:ilvl w:val="1"/>
          <w:numId w:val="1"/>
        </w:numPr>
        <w:rPr>
          <w:bCs/>
        </w:rPr>
      </w:pPr>
      <w:r>
        <w:rPr/>
        <w:t>Vznikne-li Poskytovateli v důsledku nesplnění povinnosti Nabyvatele dle právních předpisů na ochranu osobních údajů újma (škoda i nemajetková újma), zavazuje se Nabyvatel Poskytovateli tuto újmu v plném rozsahu nahradit. Náhrada újmy bude zahrnovat zejména (i) náhradu újmy (škody i nemajetkové újmy) subjektům údajů ve smyslu právních předpisů na ochranu osobních údajů a (ii) náhradu pokut uložených Poskytovateli ÚOOÚ či jiným orgánem veřejné moci.</w:t>
      </w:r>
    </w:p>
    <w:p>
      <w:pPr>
        <w:pStyle w:val="RLTextlnkuslovan"/>
        <w:numPr>
          <w:ilvl w:val="1"/>
          <w:numId w:val="1"/>
        </w:numPr>
        <w:rPr>
          <w:bCs/>
        </w:rPr>
      </w:pPr>
      <w:r>
        <w:rPr/>
        <w:t xml:space="preserve">Vzniknou-li Poskytovateli náklady v souvislosti s poskytováním součinnosti Nabyvateli, úřadům nebo subjektům údajů nebo v souvislosti s prováděním rozhodnutí Nabyvatele, k nimž je oprávněn, vzniká mu nárok na náhradu těchto nákladů, pokud byly vynaloženy účelně. </w:t>
      </w:r>
    </w:p>
    <w:p>
      <w:pPr>
        <w:pStyle w:val="RLTextlnkuslovan"/>
        <w:numPr>
          <w:ilvl w:val="1"/>
          <w:numId w:val="1"/>
        </w:numPr>
        <w:rPr>
          <w:bCs/>
        </w:rPr>
      </w:pPr>
      <w:r>
        <w:rPr/>
        <w:t>Další povinnosti Poskytovatele</w:t>
      </w:r>
    </w:p>
    <w:p>
      <w:pPr>
        <w:pStyle w:val="RLTextlnkuslovan"/>
        <w:numPr>
          <w:ilvl w:val="2"/>
          <w:numId w:val="1"/>
        </w:numPr>
        <w:rPr>
          <w:bCs/>
        </w:rPr>
      </w:pPr>
      <w:r>
        <w:rPr/>
        <w:t>Poskytovatel je při zpracovávání osobních údajů povinen:</w:t>
      </w:r>
    </w:p>
    <w:p>
      <w:pPr>
        <w:pStyle w:val="RLTextlnkuslovan"/>
        <w:numPr>
          <w:ilvl w:val="3"/>
          <w:numId w:val="1"/>
        </w:numPr>
        <w:tabs>
          <w:tab w:val="clear" w:pos="708"/>
          <w:tab w:val="left" w:pos="3261" w:leader="none"/>
        </w:tabs>
        <w:ind w:left="3261" w:hanging="993"/>
        <w:rPr>
          <w:bCs/>
        </w:rPr>
      </w:pPr>
      <w:r>
        <w:rPr/>
        <w:t>zpracovávat osobní údaje výlučně na základě doložených pokynů Nabyvatele; zpracovávání osobních údajů v souladu s popisem Software dohodnutým v rámci Smlouvy se považuje za prováděné v souladu s instrukcemi Nabyvatele;</w:t>
      </w:r>
    </w:p>
    <w:p>
      <w:pPr>
        <w:pStyle w:val="RLTextlnkuslovan"/>
        <w:numPr>
          <w:ilvl w:val="3"/>
          <w:numId w:val="1"/>
        </w:numPr>
        <w:tabs>
          <w:tab w:val="clear" w:pos="708"/>
          <w:tab w:val="left" w:pos="3261" w:leader="none"/>
        </w:tabs>
        <w:ind w:left="3261" w:hanging="993"/>
        <w:rPr>
          <w:bCs/>
        </w:rPr>
      </w:pPr>
      <w:r>
        <w:rPr/>
        <w:t>řídit se instrukcemi Nabyvatele v otázkách předání osobních údajů do třetí země nebo mezinárodní organizaci, pokud mu toto zpracování již neukládá právo Evropské unie nebo členského státu, které se na Poskytovatele vztahuje; v takovém případě Poskytovatel Nabyvatele informuje o tomto právním požadavku před zpracováním, ledaže by tyto právní předpisy toto informování zakazovaly z důležitých důvodů veřejného zájmu;</w:t>
      </w:r>
    </w:p>
    <w:p>
      <w:pPr>
        <w:pStyle w:val="RLTextlnkuslovan"/>
        <w:numPr>
          <w:ilvl w:val="3"/>
          <w:numId w:val="1"/>
        </w:numPr>
        <w:tabs>
          <w:tab w:val="clear" w:pos="708"/>
          <w:tab w:val="left" w:pos="3261" w:leader="none"/>
        </w:tabs>
        <w:ind w:left="3261" w:hanging="993"/>
        <w:rPr>
          <w:bCs/>
        </w:rPr>
      </w:pPr>
      <w:r>
        <w:rPr/>
        <w:t>zajišťovat, aby se osoby oprávněné zpracovávat osobní údaje zavázaly k mlčenlivosti nebo aby se na ně vztahovala zákonná povinnost mlčenlivosti;</w:t>
      </w:r>
    </w:p>
    <w:p>
      <w:pPr>
        <w:pStyle w:val="RLTextlnkuslovan"/>
        <w:numPr>
          <w:ilvl w:val="3"/>
          <w:numId w:val="1"/>
        </w:numPr>
        <w:tabs>
          <w:tab w:val="clear" w:pos="708"/>
          <w:tab w:val="left" w:pos="3261" w:leader="none"/>
        </w:tabs>
        <w:ind w:left="3261" w:hanging="993"/>
        <w:rPr>
          <w:bCs/>
        </w:rPr>
      </w:pPr>
      <w:r>
        <w:rPr/>
        <w:t>nezapojit do zpracování žádného dalšího zpracovatele bez předchozího konkrétního nebo obecného písemného povolení Nabyvatele;</w:t>
      </w:r>
    </w:p>
    <w:p>
      <w:pPr>
        <w:pStyle w:val="RLTextlnkuslovan"/>
        <w:numPr>
          <w:ilvl w:val="3"/>
          <w:numId w:val="1"/>
        </w:numPr>
        <w:tabs>
          <w:tab w:val="clear" w:pos="708"/>
          <w:tab w:val="left" w:pos="3261" w:leader="none"/>
        </w:tabs>
        <w:ind w:left="3261" w:hanging="993"/>
        <w:rPr>
          <w:bCs/>
        </w:rPr>
      </w:pPr>
      <w:bookmarkStart w:id="69" w:name="_Ref497495761"/>
      <w:r>
        <w:rPr/>
        <w:t>při zohlednění povahy zpracování, být Nabyvateli nápomocen prostřednictvím vhodných technických a organizačních opatření, pokud je to možné, pro splnění Nabyvatelovy povinnosti reagovat na žádosti o výkon práv subjektů údajů;</w:t>
      </w:r>
      <w:bookmarkEnd w:id="69"/>
    </w:p>
    <w:p>
      <w:pPr>
        <w:pStyle w:val="RLTextlnkuslovan"/>
        <w:numPr>
          <w:ilvl w:val="3"/>
          <w:numId w:val="1"/>
        </w:numPr>
        <w:tabs>
          <w:tab w:val="clear" w:pos="708"/>
          <w:tab w:val="left" w:pos="3261" w:leader="none"/>
        </w:tabs>
        <w:ind w:left="3261" w:hanging="993"/>
        <w:rPr>
          <w:bCs/>
        </w:rPr>
      </w:pPr>
      <w:bookmarkStart w:id="70" w:name="_Ref497495766"/>
      <w:r>
        <w:rPr/>
        <w:t>být Nabyvateli nápomocen při zajišťování souladu s povinnostmi Nabyvatele zajistit úroveň zabezpečení zpracování, ohlašovat případy porušení zabezpečení osobních údajů ÚOOÚ a případně též subjektům údajů, posuzovat vliv na ochranu osobních údajů a realizovat předchozí konzultace s ÚOOÚ, a to při zohlednění povahy zpracování a informací, jež má Poskytovatel k dispozici;</w:t>
      </w:r>
      <w:bookmarkEnd w:id="70"/>
    </w:p>
    <w:p>
      <w:pPr>
        <w:pStyle w:val="RLTextlnkuslovan"/>
        <w:numPr>
          <w:ilvl w:val="3"/>
          <w:numId w:val="1"/>
        </w:numPr>
        <w:tabs>
          <w:tab w:val="clear" w:pos="708"/>
          <w:tab w:val="left" w:pos="3261" w:leader="none"/>
        </w:tabs>
        <w:ind w:left="3261" w:hanging="993"/>
        <w:rPr>
          <w:bCs/>
        </w:rPr>
      </w:pPr>
      <w:r>
        <w:rPr/>
        <w:t>v souladu s rozhodnutím Nabyvatele všechny osobní údaje buď vymazat, nebo vrátit Nabyvateli po ukončení poskytování Služby, a vymazat existující kopie, pokud právo Evropské unie nebo členského státu nepožaduje uložení daných osobních údajů;  </w:t>
      </w:r>
    </w:p>
    <w:p>
      <w:pPr>
        <w:pStyle w:val="RLTextlnkuslovan"/>
        <w:numPr>
          <w:ilvl w:val="3"/>
          <w:numId w:val="1"/>
        </w:numPr>
        <w:tabs>
          <w:tab w:val="clear" w:pos="708"/>
          <w:tab w:val="left" w:pos="3261" w:leader="none"/>
        </w:tabs>
        <w:ind w:left="3261" w:hanging="993"/>
        <w:rPr>
          <w:bCs/>
        </w:rPr>
      </w:pPr>
      <w:bookmarkStart w:id="71" w:name="_Ref497495770"/>
      <w:r>
        <w:rPr/>
        <w:t>poskytnout Nabyvateli veškeré informace potřebné k doložení toho, že byly splněny povinnosti stanovené právními předpisy na ochranu osobních údajů, a umožnit audity, včetně inspekcí, prováděné Nabyvatelem nebo jiným auditorem, kterého Nabyvatel pověřil, a k těmto auditům přispívat;</w:t>
      </w:r>
      <w:bookmarkEnd w:id="71"/>
    </w:p>
    <w:p>
      <w:pPr>
        <w:pStyle w:val="RLTextlnkuslovan"/>
        <w:numPr>
          <w:ilvl w:val="0"/>
          <w:numId w:val="0"/>
        </w:numPr>
        <w:tabs>
          <w:tab w:val="left" w:pos="708" w:leader="none"/>
        </w:tabs>
        <w:ind w:left="2211" w:hanging="0"/>
        <w:rPr>
          <w:bCs/>
        </w:rPr>
      </w:pPr>
      <w:r>
        <w:rPr/>
        <w:t xml:space="preserve">přičemž činnosti Poskytovatele dle bodů </w:t>
      </w:r>
      <w:r>
        <w:rPr/>
        <w:fldChar w:fldCharType="begin"/>
      </w:r>
      <w:r>
        <w:rPr/>
        <w:instrText xml:space="preserve"> REF _Ref497495761 \r \h </w:instrText>
      </w:r>
      <w:r>
        <w:rPr/>
        <w:fldChar w:fldCharType="separate"/>
      </w:r>
      <w:r>
        <w:rPr/>
        <w:t>e)</w:t>
      </w:r>
      <w:r>
        <w:rPr/>
        <w:fldChar w:fldCharType="end"/>
      </w:r>
      <w:r>
        <w:rPr/>
        <w:t xml:space="preserve">, </w:t>
      </w:r>
      <w:r>
        <w:rPr/>
        <w:fldChar w:fldCharType="begin"/>
      </w:r>
      <w:r>
        <w:rPr/>
        <w:instrText xml:space="preserve"> REF _Ref497495766 \r \h </w:instrText>
      </w:r>
      <w:r>
        <w:rPr/>
        <w:fldChar w:fldCharType="separate"/>
      </w:r>
      <w:r>
        <w:rPr/>
        <w:t>f)</w:t>
      </w:r>
      <w:r>
        <w:rPr/>
        <w:fldChar w:fldCharType="end"/>
      </w:r>
      <w:r>
        <w:rPr/>
        <w:t xml:space="preserve"> a </w:t>
      </w:r>
      <w:r>
        <w:rPr/>
        <w:fldChar w:fldCharType="begin"/>
      </w:r>
      <w:r>
        <w:rPr/>
        <w:instrText xml:space="preserve"> REF _Ref497495770 \r \h </w:instrText>
      </w:r>
      <w:r>
        <w:rPr/>
        <w:fldChar w:fldCharType="separate"/>
      </w:r>
      <w:r>
        <w:rPr/>
        <w:t>h)</w:t>
      </w:r>
      <w:r>
        <w:rPr/>
        <w:fldChar w:fldCharType="end"/>
      </w:r>
      <w:r>
        <w:rPr/>
        <w:t xml:space="preserve"> budou hrazeny dle cen pro poskytování těchto činností dle ceníku Poskytovatele.  </w:t>
      </w:r>
    </w:p>
    <w:p>
      <w:pPr>
        <w:pStyle w:val="RLTextlnkuslovan"/>
        <w:numPr>
          <w:ilvl w:val="1"/>
          <w:numId w:val="1"/>
        </w:numPr>
        <w:rPr>
          <w:bCs/>
        </w:rPr>
      </w:pPr>
      <w:r>
        <w:rPr/>
        <w:t>Zabezpečení osobních údajů</w:t>
      </w:r>
    </w:p>
    <w:p>
      <w:pPr>
        <w:pStyle w:val="RLTextlnkuslovan"/>
        <w:numPr>
          <w:ilvl w:val="2"/>
          <w:numId w:val="1"/>
        </w:numPr>
        <w:rPr>
          <w:bCs/>
        </w:rPr>
      </w:pPr>
      <w:r>
        <w:rPr/>
        <w:t>Poskytovatel přijal a udržuje taková technická a organizační opatření, aby nemohlo dojít k neoprávněnému nebo nahodilému přístupu k osobním údajům, k jejich změně, zničení či ztrátě, neoprávněným přenosům, k jejich jinému neoprávněnému zpracování, jakož i k jinému zneužití osobních údajů.</w:t>
      </w:r>
    </w:p>
    <w:p>
      <w:pPr>
        <w:pStyle w:val="RLTextlnkuslovan"/>
        <w:numPr>
          <w:ilvl w:val="2"/>
          <w:numId w:val="1"/>
        </w:numPr>
        <w:rPr>
          <w:bCs/>
        </w:rPr>
      </w:pPr>
      <w:r>
        <w:rPr/>
        <w:t>V případě, že Poskytovatel zjistí porušení zabezpečení osobních údajů, ohlásí je bez zbytečného odkladu Nabyvateli.</w:t>
      </w:r>
    </w:p>
    <w:p>
      <w:pPr>
        <w:pStyle w:val="RLTextlnkuslovan"/>
        <w:numPr>
          <w:ilvl w:val="1"/>
          <w:numId w:val="1"/>
        </w:numPr>
        <w:rPr>
          <w:bCs/>
        </w:rPr>
      </w:pPr>
      <w:r>
        <w:rPr/>
        <w:t>V případě ukončení Smlouvy nejsou Poskytovatel, resp. jeho zaměstnanci, popř. pověřené třetí osoby, které přišly do styku s osobními údaji, zbaveni mlčenlivosti. Povinnost mlčenlivosti u nich v takovémto případě trvá i po ukončení účinnosti Smlouvy, bez ohledu na trvání poměru uvedených osob k Poskytovateli.</w:t>
      </w:r>
    </w:p>
    <w:p>
      <w:pPr>
        <w:pStyle w:val="RLTextlnkuslovan"/>
        <w:numPr>
          <w:ilvl w:val="1"/>
          <w:numId w:val="1"/>
        </w:numPr>
        <w:rPr>
          <w:lang w:eastAsia="en-US"/>
        </w:rPr>
      </w:pPr>
      <w:r>
        <w:rPr/>
        <w:t>Osobní údaje budou Poskytovatelem vymazány na pokyn Nabyvatele, nejpozději však po uplynutí 30 dnů od ukončení účinnosti Smlouvy; do tohoto okamžiku je Nabyvatel oprávněn si kopii osobních údajů stáhnout.</w:t>
      </w:r>
    </w:p>
    <w:p>
      <w:pPr>
        <w:pStyle w:val="RLlneksmlouvy"/>
        <w:numPr>
          <w:ilvl w:val="0"/>
          <w:numId w:val="1"/>
        </w:numPr>
        <w:rPr>
          <w:bCs/>
        </w:rPr>
      </w:pPr>
      <w:r>
        <w:rPr/>
        <w:t>DORUČOVÁNÍ</w:t>
      </w:r>
    </w:p>
    <w:p>
      <w:pPr>
        <w:pStyle w:val="RLTextlnkuslovan"/>
        <w:numPr>
          <w:ilvl w:val="1"/>
          <w:numId w:val="1"/>
        </w:numPr>
        <w:rPr>
          <w:lang w:eastAsia="en-US"/>
        </w:rPr>
      </w:pPr>
      <w:r>
        <w:rPr>
          <w:lang w:eastAsia="en-US"/>
        </w:rPr>
        <w:t>Doručování mezi Smluvními stranami se uskutečňuje na kontaktní adresu a další kontaktní údaje uvedené v záhlaví Smlouvy. Každá Smluvní strana má povinnost oznámit do 5 dnů druhé Smluvní straně změnu své adresy, popř. jiných kontaktních údajů. V případě neoznámení takové změny jsou rozhodné údaje uvedené ve Smlouvě.</w:t>
      </w:r>
    </w:p>
    <w:p>
      <w:pPr>
        <w:pStyle w:val="RLTextlnkuslovan"/>
        <w:numPr>
          <w:ilvl w:val="1"/>
          <w:numId w:val="1"/>
        </w:numPr>
        <w:rPr>
          <w:lang w:eastAsia="en-US"/>
        </w:rPr>
      </w:pPr>
      <w:r>
        <w:rPr>
          <w:lang w:eastAsia="en-US"/>
        </w:rPr>
        <w:t>Oznámení o udělení dálkového přístupu Nabyvatele k serveru Poskytovatele za účelem stažení Software bude zasláno elektronicky na kontaktní e-mail Nabyvatele a považuje se za doručené dnem jeho odeslání.</w:t>
      </w:r>
    </w:p>
    <w:p>
      <w:pPr>
        <w:pStyle w:val="RLTextlnkuslovan"/>
        <w:numPr>
          <w:ilvl w:val="1"/>
          <w:numId w:val="1"/>
        </w:numPr>
        <w:rPr>
          <w:lang w:eastAsia="en-US"/>
        </w:rPr>
      </w:pPr>
      <w:r>
        <w:rPr>
          <w:lang w:eastAsia="en-US"/>
        </w:rPr>
        <w:t xml:space="preserve">Všechna oznámení a další úkony, které mají za přímý následek vznik práv a povinností (např. odstoupení od Smlouvy uplatnění smluvní pokuty, výzvy k zaplacení atp.) musí být učiněny v písemné formě a druhé Straně doručeny osobně, kurýrem, doporučeným dopisem, prostřednictvím datové schránky nebo elektronickou poštou se zaručeným elektronickým podpisem.  </w:t>
      </w:r>
    </w:p>
    <w:p>
      <w:pPr>
        <w:pStyle w:val="RLTextlnkuslovan"/>
        <w:numPr>
          <w:ilvl w:val="1"/>
          <w:numId w:val="1"/>
        </w:numPr>
        <w:rPr>
          <w:lang w:eastAsia="en-US"/>
        </w:rPr>
      </w:pPr>
      <w:r>
        <w:rPr>
          <w:lang w:eastAsia="en-US"/>
        </w:rPr>
        <w:t>Ostatní oznámení a jiné úkony, které nemají za následek přímý vznik práv a povinností (např. oznámení technické povahy, oznámení o změně kontaktních údajů atp.) mohou být vedle výše uvedených způsobů doručeny běžnou elektronickou poštou na kontaktní e-mail Nabyvatele.</w:t>
      </w:r>
    </w:p>
    <w:p>
      <w:pPr>
        <w:pStyle w:val="RLTextlnkuslovan"/>
        <w:numPr>
          <w:ilvl w:val="1"/>
          <w:numId w:val="1"/>
        </w:numPr>
        <w:rPr>
          <w:lang w:eastAsia="en-US"/>
        </w:rPr>
      </w:pPr>
      <w:r>
        <w:rPr>
          <w:lang w:eastAsia="en-US"/>
        </w:rPr>
        <w:t>Objednávky doprovodných služeb či jiných služeb Poskytovatele je možné učinit a Poskytovatelem potvrdit e-mailem bez zaručeného elektronického podpisu, ústně nebo prostřednictvím Help Desk a Hot Line.</w:t>
      </w:r>
    </w:p>
    <w:p>
      <w:pPr>
        <w:pStyle w:val="RLlneksmlouvy"/>
        <w:numPr>
          <w:ilvl w:val="0"/>
          <w:numId w:val="8"/>
        </w:numPr>
        <w:rPr>
          <w:bCs/>
        </w:rPr>
      </w:pPr>
      <w:r>
        <w:rPr/>
        <w:t>ZÁVĚREČNÁ USTANOVENÍ</w:t>
      </w:r>
    </w:p>
    <w:p>
      <w:pPr>
        <w:pStyle w:val="RLTextlnkuslovan"/>
        <w:numPr>
          <w:ilvl w:val="1"/>
          <w:numId w:val="1"/>
        </w:numPr>
        <w:rPr>
          <w:bCs/>
        </w:rPr>
      </w:pPr>
      <w:r>
        <w:rPr/>
        <w:t>Smlouva představuje úplnou dohodu smluvních stran o předmětu Smlouvy a nahrazuje veškerá předešlá ujednání smluvních stran o předmětu Smlouvy, ústní i písemná.</w:t>
      </w:r>
    </w:p>
    <w:p>
      <w:pPr>
        <w:pStyle w:val="RLTextlnkuslovan"/>
        <w:numPr>
          <w:ilvl w:val="1"/>
          <w:numId w:val="1"/>
        </w:numPr>
        <w:rPr>
          <w:bCs/>
        </w:rPr>
      </w:pPr>
      <w:r>
        <w:rPr/>
        <w:t>Smlouvu je možné měnit pouze písemnou dohodou smluvních stran ve formě číslovaných dodatků Smlouvy, podepsaných za každou smluvní stranu osobou nebo osobami oprávněnými jednat jménem smluvních stran.</w:t>
      </w:r>
    </w:p>
    <w:p>
      <w:pPr>
        <w:pStyle w:val="RLTextlnkuslovan"/>
        <w:numPr>
          <w:ilvl w:val="1"/>
          <w:numId w:val="1"/>
        </w:numPr>
        <w:rPr>
          <w:lang w:eastAsia="en-US"/>
        </w:rPr>
      </w:pPr>
      <w:r>
        <w:rPr>
          <w:lang w:eastAsia="en-US"/>
        </w:rPr>
        <w:t>Odlišně od principu dle 14.2 mohou smluvní strany uzavřít dohodu, která upraví předmět smlouvy či harmonogram plnění. Tato dohoda bude nazvána detailní realizační projekt a bude mít přednost před Smlouvou (dále jen Detailní realizační projekt). V případě, že Detailní realizační projekt rozšíří předmět plnění, stane se účinným až dohodou o ceně plnění, která bude provedena objednávkou nebo dodatkem této Smlouvy.</w:t>
      </w:r>
    </w:p>
    <w:p>
      <w:pPr>
        <w:pStyle w:val="RLTextlnkuslovan"/>
        <w:numPr>
          <w:ilvl w:val="1"/>
          <w:numId w:val="1"/>
        </w:numPr>
        <w:rPr>
          <w:lang w:eastAsia="en-US"/>
        </w:rPr>
      </w:pPr>
      <w:r>
        <w:rPr/>
        <w:t>Žádná ze smluvních stran není oprávněna postoupit svá práva a povinnosti vyplývající ze Smlouvy třetí osobě bez předchozího písemného souhlasu druhé smluvní strany.</w:t>
      </w:r>
    </w:p>
    <w:p>
      <w:pPr>
        <w:pStyle w:val="RLTextlnkuslovan"/>
        <w:numPr>
          <w:ilvl w:val="1"/>
          <w:numId w:val="1"/>
        </w:numPr>
        <w:rPr>
          <w:lang w:eastAsia="en-US"/>
        </w:rPr>
      </w:pPr>
      <w:r>
        <w:rPr/>
        <w:t>Veškerá práva a povinnosti vyplývající ze Smlouvy přecházejí, pokud to povaha těchto práv a povinností nevylučuje, na právní nástupce smluvních stran.</w:t>
      </w:r>
    </w:p>
    <w:p>
      <w:pPr>
        <w:pStyle w:val="Normal"/>
        <w:spacing w:before="0" w:after="120"/>
        <w:jc w:val="center"/>
        <w:rPr>
          <w:b/>
          <w:b/>
        </w:rPr>
      </w:pPr>
      <w:r>
        <w:rPr/>
      </w:r>
    </w:p>
    <w:sectPr>
      <w:headerReference w:type="default" r:id="rId16"/>
      <w:headerReference w:type="first" r:id="rId17"/>
      <w:footerReference w:type="default" r:id="rId18"/>
      <w:footerReference w:type="first" r:id="rId19"/>
      <w:footnotePr>
        <w:numFmt w:val="decimal"/>
      </w:footnotePr>
      <w:type w:val="nextPage"/>
      <w:pgSz w:w="11906" w:h="16838"/>
      <w:pgMar w:left="1418" w:right="1418" w:gutter="0" w:header="709" w:top="1418" w:footer="709" w:bottom="1418"/>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Calibri">
    <w:charset w:val="ee"/>
    <w:family w:val="roman"/>
    <w:pitch w:val="variable"/>
  </w:font>
  <w:font w:name="Arial">
    <w:charset w:val="ee"/>
    <w:family w:val="roman"/>
    <w:pitch w:val="variable"/>
  </w:font>
  <w:font w:name="Liberation Sans">
    <w:altName w:val="Arial"/>
    <w:charset w:val="ee"/>
    <w:family w:val="swiss"/>
    <w:pitch w:val="variable"/>
  </w:font>
  <w:font w:name="Tahoma">
    <w:charset w:val="ee"/>
    <w:family w:val="roman"/>
    <w:pitch w:val="variable"/>
  </w:font>
  <w:font w:name="Cambria Math">
    <w:charset w:val="ee"/>
    <w:family w:val="roman"/>
    <w:pitch w:val="variable"/>
  </w:font>
  <w:font w:name="Arial CE">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pat"/>
      <w:rPr/>
    </w:pPr>
    <w:r>
      <w:rPr/>
      <w:t xml:space="preserve">Strana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 xml:space="preserve"> / </w:t>
    </w:r>
    <w:r>
      <w:fldChar w:fldCharType="begin"/>
    </w:r>
    <w:r>
      <w:rPr>
        <w:rStyle w:val="Pagenumber"/>
      </w:rPr>
      <w:instrText xml:space="preserve">SECTIONPAGES  \* Arabic  \* MERGEFORMAT</w:instrText>
    </w:r>
    <w:r>
      <w:rPr>
        <w:rStyle w:val="Pagenumber"/>
      </w:rPr>
    </w:r>
    <w:r>
      <w:rPr>
        <w:rStyle w:val="Pagenumber"/>
      </w:rPr>
      <w:fldChar w:fldCharType="separate"/>
    </w:r>
    <w:r>
      <w:rPr>
        <w:rStyle w:val="Pagenumber"/>
      </w:rPr>
      <w:t>12</w:t>
    </w:r>
    <w:r>
      <w:rPr>
        <w:rStyle w:val="Pagenumber"/>
      </w:rPr>
    </w:r>
    <w:r>
      <w:rPr>
        <w:rStyle w:val="Pagenumber"/>
      </w:rPr>
      <w:fldChar w:fldCharType="end"/>
    </w:r>
  </w:p>
  <w:p>
    <w:pPr>
      <w:pStyle w:val="Normal"/>
      <w:widowControl/>
      <w:bidi w:val="0"/>
      <w:spacing w:lineRule="exact" w:line="280" w:before="0" w:after="120"/>
      <w:jc w:val="left"/>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pat"/>
      <w:rPr/>
    </w:pPr>
    <w:r>
      <w:rPr/>
      <w:t xml:space="preserve">Strana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 xml:space="preserve"> / </w:t>
    </w:r>
    <w:r>
      <w:fldChar w:fldCharType="begin"/>
    </w:r>
    <w:r>
      <w:rPr>
        <w:rStyle w:val="Pagenumber"/>
      </w:rPr>
      <w:instrText xml:space="preserve">SECTIONPAGES  \* Arabic  \* MERGEFORMAT</w:instrText>
    </w:r>
    <w:r>
      <w:rPr>
        <w:rStyle w:val="Pagenumber"/>
      </w:rPr>
    </w:r>
    <w:r>
      <w:rPr>
        <w:rStyle w:val="Pagenumber"/>
      </w:rPr>
      <w:fldChar w:fldCharType="separate"/>
    </w:r>
    <w:r>
      <w:rPr>
        <w:rStyle w:val="Pagenumber"/>
      </w:rPr>
      <w:t>12</w:t>
    </w:r>
    <w:r>
      <w:rPr>
        <w:rStyle w:val="Pagenumber"/>
      </w:rPr>
    </w:r>
    <w:r>
      <w:rPr>
        <w:rStyle w:val="Pagenumber"/>
      </w:rPr>
      <w:fldChar w:fldCharType="end"/>
    </w:r>
  </w:p>
  <w:p>
    <w:pPr>
      <w:pStyle w:val="Normal"/>
      <w:widowControl/>
      <w:bidi w:val="0"/>
      <w:spacing w:lineRule="exact" w:line="280" w:before="0" w:after="120"/>
      <w:jc w:val="lef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pat"/>
      <w:rPr/>
    </w:pPr>
    <w:r>
      <w:rPr/>
      <w:t xml:space="preserve">Strana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fldChar w:fldCharType="begin"/>
    </w:r>
    <w:r>
      <w:rPr>
        <w:rStyle w:val="Pagenumber"/>
      </w:rPr>
      <w:instrText xml:space="preserve">SECTIONPAGES  \* Arabic  \* MERGEFORMAT</w:instrText>
    </w:r>
    <w:r>
      <w:rPr>
        <w:rStyle w:val="Pagenumber"/>
      </w:rPr>
    </w:r>
    <w:r>
      <w:rPr>
        <w:rStyle w:val="Pagenumber"/>
      </w:rPr>
      <w:fldChar w:fldCharType="separate"/>
    </w:r>
    <w:r>
      <w:rPr>
        <w:rStyle w:val="Pagenumber"/>
      </w:rPr>
      <w:t>12</w:t>
    </w:r>
    <w:r>
      <w:rPr>
        <w:rStyle w:val="Pagenumber"/>
      </w:rPr>
    </w:r>
    <w:r>
      <w:rPr>
        <w:rStyle w:val="Pagenumber"/>
      </w:rPr>
      <w:fldChar w:fldCharType="end"/>
    </w:r>
  </w:p>
  <w:p>
    <w:pPr>
      <w:pStyle w:val="Normal"/>
      <w:widowControl/>
      <w:bidi w:val="0"/>
      <w:spacing w:lineRule="exact" w:line="280" w:before="0" w:after="120"/>
      <w:jc w:val="left"/>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pat"/>
      <w:rPr/>
    </w:pPr>
    <w:r>
      <w:rPr/>
      <w:t xml:space="preserve">Strana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fldChar w:fldCharType="begin"/>
    </w:r>
    <w:r>
      <w:rPr>
        <w:rStyle w:val="Pagenumber"/>
      </w:rPr>
      <w:instrText xml:space="preserve">SECTIONPAGES  \* Arabic  \* MERGEFORMAT</w:instrText>
    </w:r>
    <w:r>
      <w:rPr>
        <w:rStyle w:val="Pagenumber"/>
      </w:rPr>
    </w:r>
    <w:r>
      <w:rPr>
        <w:rStyle w:val="Pagenumber"/>
      </w:rPr>
      <w:fldChar w:fldCharType="separate"/>
    </w:r>
    <w:r>
      <w:rPr>
        <w:rStyle w:val="Pagenumber"/>
      </w:rPr>
      <w:t>12</w:t>
    </w:r>
    <w:r>
      <w:rPr>
        <w:rStyle w:val="Pagenumber"/>
      </w:rPr>
    </w:r>
    <w:r>
      <w:rPr>
        <w:rStyle w:val="Pagenumber"/>
      </w:rPr>
      <w:fldChar w:fldCharType="end"/>
    </w:r>
  </w:p>
  <w:p>
    <w:pPr>
      <w:pStyle w:val="Normal"/>
      <w:widowControl/>
      <w:bidi w:val="0"/>
      <w:spacing w:lineRule="exact" w:line="280" w:before="0" w:after="120"/>
      <w:jc w:val="left"/>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pat"/>
      <w:rPr/>
    </w:pPr>
    <w:r>
      <w:rPr/>
      <w:t xml:space="preserve">Strana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fldChar w:fldCharType="begin"/>
    </w:r>
    <w:r>
      <w:rPr>
        <w:rStyle w:val="Pagenumber"/>
      </w:rPr>
      <w:instrText xml:space="preserve">SECTIONPAGES  \* Arabic  \* MERGEFORMAT</w:instrText>
    </w:r>
    <w:r>
      <w:rPr>
        <w:rStyle w:val="Pagenumber"/>
      </w:rPr>
    </w:r>
    <w:r>
      <w:rPr>
        <w:rStyle w:val="Pagenumber"/>
      </w:rPr>
      <w:fldChar w:fldCharType="separate"/>
    </w:r>
    <w:r>
      <w:rPr>
        <w:rStyle w:val="Pagenumber"/>
      </w:rPr>
      <w:t>12</w:t>
    </w:r>
    <w:r>
      <w:rPr>
        <w:rStyle w:val="Pagenumber"/>
      </w:rPr>
    </w:r>
    <w:r>
      <w:rPr>
        <w:rStyle w:val="Pagenumber"/>
      </w:rPr>
      <w:fldChar w:fldCharType="end"/>
    </w:r>
  </w:p>
  <w:p>
    <w:pPr>
      <w:pStyle w:val="Zpat"/>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pat"/>
      <w:rPr/>
    </w:pPr>
    <w:r>
      <w:rPr/>
      <w:t xml:space="preserve">Strana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fldChar w:fldCharType="begin"/>
    </w:r>
    <w:r>
      <w:rPr>
        <w:rStyle w:val="Pagenumber"/>
      </w:rPr>
      <w:instrText xml:space="preserve">SECTIONPAGES  \* Arabic  \* MERGEFORMAT</w:instrText>
    </w:r>
    <w:r>
      <w:rPr>
        <w:rStyle w:val="Pagenumber"/>
      </w:rPr>
    </w:r>
    <w:r>
      <w:rPr>
        <w:rStyle w:val="Pagenumber"/>
      </w:rPr>
      <w:fldChar w:fldCharType="separate"/>
    </w:r>
    <w:r>
      <w:rPr>
        <w:rStyle w:val="Pagenumber"/>
      </w:rPr>
      <w:t>12</w:t>
    </w:r>
    <w:r>
      <w:rPr>
        <w:rStyle w:val="Pagenumber"/>
      </w:rPr>
    </w:r>
    <w:r>
      <w:rPr>
        <w:rStyle w:val="Pagenumber"/>
      </w:rPr>
      <w:fldChar w:fldCharType="end"/>
    </w:r>
  </w:p>
  <w:p>
    <w:pPr>
      <w:pStyle w:val="Zpat"/>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pat"/>
      <w:rPr/>
    </w:pPr>
    <w:r>
      <w:rPr/>
      <w:t xml:space="preserve">Strana </w:t>
    </w: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 xml:space="preserve"> / </w:t>
    </w:r>
    <w:r>
      <w:fldChar w:fldCharType="begin"/>
    </w:r>
    <w:r>
      <w:rPr>
        <w:rStyle w:val="Pagenumber"/>
      </w:rPr>
      <w:instrText xml:space="preserve">SECTIONPAGES  \* Arabic  \* MERGEFORMAT</w:instrText>
    </w:r>
    <w:r>
      <w:rPr>
        <w:rStyle w:val="Pagenumber"/>
      </w:rPr>
    </w:r>
    <w:r>
      <w:rPr>
        <w:rStyle w:val="Pagenumber"/>
      </w:rPr>
      <w:fldChar w:fldCharType="separate"/>
    </w:r>
    <w:r>
      <w:rPr>
        <w:rStyle w:val="Pagenumber"/>
      </w:rPr>
      <w:t>12</w:t>
    </w:r>
    <w:r>
      <w:rPr>
        <w:rStyle w:val="Pagenumber"/>
      </w:rPr>
    </w:r>
    <w:r>
      <w:rPr>
        <w:rStyle w:val="Pagenumber"/>
      </w:rPr>
      <w:fldChar w:fldCharType="end"/>
    </w:r>
  </w:p>
  <w:p>
    <w:pPr>
      <w:pStyle w:val="Normal"/>
      <w:widowControl/>
      <w:bidi w:val="0"/>
      <w:spacing w:lineRule="exact" w:line="280" w:before="0" w:after="120"/>
      <w:jc w:val="left"/>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pat"/>
      <w:rPr/>
    </w:pPr>
    <w:r>
      <w:rPr/>
      <w:t xml:space="preserve">Strana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fldChar w:fldCharType="begin"/>
    </w:r>
    <w:r>
      <w:rPr>
        <w:rStyle w:val="Pagenumber"/>
      </w:rPr>
      <w:instrText xml:space="preserve">SECTIONPAGES  \* Arabic  \* MERGEFORMAT</w:instrText>
    </w:r>
    <w:r>
      <w:rPr>
        <w:rStyle w:val="Pagenumber"/>
      </w:rPr>
    </w:r>
    <w:r>
      <w:rPr>
        <w:rStyle w:val="Pagenumber"/>
      </w:rPr>
      <w:fldChar w:fldCharType="separate"/>
    </w:r>
    <w:r>
      <w:rPr>
        <w:rStyle w:val="Pagenumber"/>
      </w:rPr>
      <w:t>12</w:t>
    </w:r>
    <w:r>
      <w:rPr>
        <w:rStyle w:val="Pagenumber"/>
      </w:rPr>
    </w:r>
    <w:r>
      <w:rPr>
        <w:rStyle w:val="Pagenumber"/>
      </w:rPr>
      <w:fldChar w:fldCharType="end"/>
    </w:r>
  </w:p>
  <w:p>
    <w:pPr>
      <w:pStyle w:val="Zpat"/>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Poznmkapodarou"/>
        <w:widowControl w:val="false"/>
        <w:rPr/>
      </w:pPr>
      <w:r>
        <w:rPr>
          <w:rStyle w:val="Znakypropoznmkupodarou"/>
        </w:rPr>
        <w:footnoteRef/>
      </w:r>
      <w:r>
        <w:rPr/>
        <w:t xml:space="preserve"> </w:t>
      </w:r>
      <w:r>
        <w:rPr/>
        <w:t>Volné edice komerčních databázových prostředí mají od výrobce omezení a technologické limity pro provoz a nejsou ze strany společnosti VERA, spol. s. r.o. podporovány pro provoz více než 25 uživatelů.</w:t>
      </w:r>
    </w:p>
  </w:footnote>
  <w:footnote w:id="3">
    <w:p>
      <w:pPr>
        <w:pStyle w:val="Poznmkapodarou"/>
        <w:widowControl w:val="false"/>
        <w:rPr/>
      </w:pPr>
      <w:r>
        <w:rPr>
          <w:rStyle w:val="Znakypropoznmkupodarou"/>
        </w:rPr>
        <w:footnoteRef/>
      </w:r>
      <w:r>
        <w:rPr/>
        <w:t xml:space="preserve"> </w:t>
      </w:r>
      <w:r>
        <w:rPr/>
        <w:t>Databázové prostředí PostgreSQL bude podporováno pouze na linuxové platformě RHEL 8.</w:t>
      </w:r>
    </w:p>
  </w:footnote>
  <w:footnote w:id="4">
    <w:p>
      <w:pPr>
        <w:pStyle w:val="Poznmkapodarou"/>
        <w:widowControl w:val="false"/>
        <w:rPr/>
      </w:pPr>
      <w:r>
        <w:rPr>
          <w:rStyle w:val="Znakypropoznmkupodarou"/>
        </w:rPr>
        <w:footnoteRef/>
      </w:r>
      <w:r>
        <w:rPr/>
        <w:t xml:space="preserve"> </w:t>
      </w:r>
      <w:r>
        <w:rPr/>
        <w:t>Na verzi Android v. 12 jakákoliv URL adresa nebo rozhraní končící názvem domény .local nevrací překlad hostitele, je nutno použít IP adresaci.</w:t>
      </w:r>
    </w:p>
  </w:footnote>
  <w:footnote w:id="5">
    <w:p>
      <w:pPr>
        <w:pStyle w:val="Poznmkapodarou"/>
        <w:widowControl w:val="false"/>
        <w:rPr/>
      </w:pPr>
      <w:r>
        <w:rPr>
          <w:rStyle w:val="Znakypropoznmkupodarou"/>
        </w:rPr>
        <w:footnoteRef/>
      </w:r>
      <w:r>
        <w:rPr/>
        <w:t xml:space="preserve"> </w:t>
      </w:r>
      <w:r>
        <w:rPr/>
        <w:t>Jen Office od verze 2016 vytváří PDF standardu PDF/A-3B</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hlav"/>
      <w:tabs>
        <w:tab w:val="clear" w:pos="4536"/>
        <w:tab w:val="clear" w:pos="9072"/>
        <w:tab w:val="left" w:pos="1455" w:leader="none"/>
      </w:tabs>
      <w:rPr/>
    </w:pPr>
    <w:r>
      <w:rPr/>
      <w:t xml:space="preserve">Smlouva o poskytování technické podpory a dalších služeb </w:t>
    </w:r>
  </w:p>
  <w:p>
    <w:pPr>
      <w:pStyle w:val="Normal"/>
      <w:widowControl/>
      <w:bidi w:val="0"/>
      <w:spacing w:lineRule="exact" w:line="280" w:before="0" w:after="120"/>
      <w:jc w:val="lef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hlav"/>
      <w:tabs>
        <w:tab w:val="clear" w:pos="4536"/>
        <w:tab w:val="clear" w:pos="9072"/>
        <w:tab w:val="left" w:pos="1455" w:leader="none"/>
      </w:tabs>
      <w:rPr/>
    </w:pPr>
    <w:r>
      <w:rPr/>
      <w:t>Smlouva o poskytování technické podpory a dalších služeb – Příloha č. 1</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hlav"/>
      <w:tabs>
        <w:tab w:val="clear" w:pos="4536"/>
        <w:tab w:val="clear" w:pos="9072"/>
        <w:tab w:val="left" w:pos="1455" w:leader="none"/>
      </w:tabs>
      <w:rPr/>
    </w:pPr>
    <w:r>
      <w:rPr/>
      <w:t>Smlouva o poskytování technické podpory a dalších služeb – Příloha č. 2A</w: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hlav"/>
      <w:tabs>
        <w:tab w:val="clear" w:pos="4536"/>
        <w:tab w:val="clear" w:pos="9072"/>
        <w:tab w:val="left" w:pos="1455" w:leader="none"/>
      </w:tabs>
      <w:rPr/>
    </w:pPr>
    <w:r>
      <w:rPr/>
      <w:t>Smlouva o poskytování technické podpory a dalších služeb – Příloha č. 2B</w:t>
    </w:r>
  </w:p>
  <w:p>
    <w:pPr>
      <w:pStyle w:val="Zhlav"/>
      <w:tabs>
        <w:tab w:val="clear" w:pos="4536"/>
        <w:tab w:val="clear" w:pos="9072"/>
        <w:tab w:val="left" w:pos="1455" w:leader="none"/>
      </w:tabs>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hlav"/>
      <w:tabs>
        <w:tab w:val="clear" w:pos="4536"/>
        <w:tab w:val="clear" w:pos="9072"/>
        <w:tab w:val="left" w:pos="1455" w:leader="none"/>
      </w:tabs>
      <w:rPr/>
    </w:pPr>
    <w:r>
      <w:rPr/>
      <w:t>Smlouva o poskytování technické podpory a dalších služeb – Příloha č. 3 </w:t>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hlav"/>
      <w:tabs>
        <w:tab w:val="clear" w:pos="4536"/>
        <w:tab w:val="clear" w:pos="9072"/>
        <w:tab w:val="left" w:pos="1455" w:leader="none"/>
      </w:tabs>
      <w:rPr/>
    </w:pPr>
    <w:r>
      <w:rPr/>
      <w:t>Smlouva o poskytování technické podpory a dalších služeb – Příloha č. 4</w:t>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hlav"/>
      <w:tabs>
        <w:tab w:val="clear" w:pos="4536"/>
        <w:tab w:val="clear" w:pos="9072"/>
        <w:tab w:val="left" w:pos="1455" w:leader="none"/>
      </w:tabs>
      <w:rPr/>
    </w:pPr>
    <w:r>
      <w:rPr/>
      <w:t>Smlouva o poskytování technické podpory a dalších služeb – Příloha č. 5</w:t>
    </w:r>
  </w:p>
  <w:p>
    <w:pPr>
      <w:pStyle w:val="Zhlav"/>
      <w:tabs>
        <w:tab w:val="clear" w:pos="4536"/>
        <w:tab w:val="clear" w:pos="9072"/>
        <w:tab w:val="left" w:pos="1455" w:leader="none"/>
      </w:tabs>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Zhlav"/>
      <w:tabs>
        <w:tab w:val="clear" w:pos="4536"/>
        <w:tab w:val="clear" w:pos="9072"/>
        <w:tab w:val="left" w:pos="1455" w:leader="none"/>
      </w:tabs>
      <w:rPr/>
    </w:pPr>
    <w:r>
      <w:rPr/>
      <w:t>Smlouva o poskytování technické podpory a dalších služeb – Příloha č. 5</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37"/>
        </w:tabs>
        <w:ind w:left="737" w:hanging="737"/>
      </w:pPr>
      <w:rPr>
        <w:caps/>
        <w:dstrike w:val="false"/>
        <w:strike w:val="false"/>
        <w:vertAlign w:val="baseline"/>
        <w:position w:val="0"/>
        <w:sz w:val="22"/>
        <w:sz w:val="22"/>
        <w:i w:val="false"/>
        <w:b/>
        <w:szCs w:val="24"/>
        <w:vanish w:val="false"/>
        <w:color w:val="00000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74"/>
        </w:tabs>
        <w:ind w:left="1474" w:hanging="737"/>
      </w:pPr>
      <w:rPr>
        <w:b/>
      </w:rPr>
    </w:lvl>
    <w:lvl w:ilvl="2">
      <w:start w:val="1"/>
      <w:numFmt w:val="decimal"/>
      <w:lvlText w:val="%1.%2.%3"/>
      <w:lvlJc w:val="left"/>
      <w:pPr>
        <w:tabs>
          <w:tab w:val="num" w:pos="2211"/>
        </w:tabs>
        <w:ind w:left="2211" w:hanging="737"/>
      </w:pPr>
      <w:rPr/>
    </w:lvl>
    <w:lvl w:ilvl="3">
      <w:start w:val="1"/>
      <w:numFmt w:val="lowerLetter"/>
      <w:lvlText w:val="%4)"/>
      <w:lvlJc w:val="left"/>
      <w:pPr>
        <w:tabs>
          <w:tab w:val="num" w:pos="3062"/>
        </w:tabs>
        <w:ind w:left="3062" w:hanging="851"/>
      </w:pPr>
      <w:rPr/>
    </w:lvl>
    <w:lvl w:ilvl="4">
      <w:start w:val="1"/>
      <w:numFmt w:val="decimal"/>
      <w:lvlText w:val="%1.%2.%3.%4.%5"/>
      <w:lvlJc w:val="left"/>
      <w:pPr>
        <w:tabs>
          <w:tab w:val="num" w:pos="3799"/>
        </w:tabs>
        <w:ind w:left="3799" w:hanging="737"/>
      </w:pPr>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2">
    <w:lvl w:ilvl="0">
      <w:start w:val="1"/>
      <w:numFmt w:val="lowerRoman"/>
      <w:lvlText w:val="(%1)"/>
      <w:lvlJc w:val="left"/>
      <w:pPr>
        <w:tabs>
          <w:tab w:val="num" w:pos="0"/>
        </w:tabs>
        <w:ind w:left="2241" w:hanging="360"/>
      </w:pPr>
      <w:rPr>
        <w:sz w:val="20"/>
        <w:i w:val="false"/>
        <w:b w:val="false"/>
        <w:szCs w:val="20"/>
        <w:rFonts w:ascii="Arial" w:hAnsi="Arial" w:cs="Arial"/>
      </w:rPr>
    </w:lvl>
    <w:lvl w:ilvl="1">
      <w:start w:val="1"/>
      <w:numFmt w:val="lowerLetter"/>
      <w:lvlText w:val="%2."/>
      <w:lvlJc w:val="left"/>
      <w:pPr>
        <w:tabs>
          <w:tab w:val="num" w:pos="0"/>
        </w:tabs>
        <w:ind w:left="2961" w:hanging="360"/>
      </w:pPr>
      <w:rPr/>
    </w:lvl>
    <w:lvl w:ilvl="2">
      <w:start w:val="1"/>
      <w:numFmt w:val="lowerRoman"/>
      <w:lvlText w:val="%3."/>
      <w:lvlJc w:val="right"/>
      <w:pPr>
        <w:tabs>
          <w:tab w:val="num" w:pos="0"/>
        </w:tabs>
        <w:ind w:left="3681" w:hanging="180"/>
      </w:pPr>
      <w:rPr/>
    </w:lvl>
    <w:lvl w:ilvl="3">
      <w:start w:val="1"/>
      <w:numFmt w:val="decimal"/>
      <w:lvlText w:val="%4."/>
      <w:lvlJc w:val="left"/>
      <w:pPr>
        <w:tabs>
          <w:tab w:val="num" w:pos="0"/>
        </w:tabs>
        <w:ind w:left="4401" w:hanging="360"/>
      </w:pPr>
      <w:rPr/>
    </w:lvl>
    <w:lvl w:ilvl="4">
      <w:start w:val="1"/>
      <w:numFmt w:val="lowerLetter"/>
      <w:lvlText w:val="%5."/>
      <w:lvlJc w:val="left"/>
      <w:pPr>
        <w:tabs>
          <w:tab w:val="num" w:pos="0"/>
        </w:tabs>
        <w:ind w:left="5121" w:hanging="360"/>
      </w:pPr>
      <w:rPr/>
    </w:lvl>
    <w:lvl w:ilvl="5">
      <w:start w:val="1"/>
      <w:numFmt w:val="lowerRoman"/>
      <w:lvlText w:val="%6."/>
      <w:lvlJc w:val="right"/>
      <w:pPr>
        <w:tabs>
          <w:tab w:val="num" w:pos="0"/>
        </w:tabs>
        <w:ind w:left="5841" w:hanging="180"/>
      </w:pPr>
      <w:rPr/>
    </w:lvl>
    <w:lvl w:ilvl="6">
      <w:start w:val="1"/>
      <w:numFmt w:val="decimal"/>
      <w:lvlText w:val="%7."/>
      <w:lvlJc w:val="left"/>
      <w:pPr>
        <w:tabs>
          <w:tab w:val="num" w:pos="0"/>
        </w:tabs>
        <w:ind w:left="6561" w:hanging="360"/>
      </w:pPr>
      <w:rPr/>
    </w:lvl>
    <w:lvl w:ilvl="7">
      <w:start w:val="1"/>
      <w:numFmt w:val="lowerLetter"/>
      <w:lvlText w:val="%8."/>
      <w:lvlJc w:val="left"/>
      <w:pPr>
        <w:tabs>
          <w:tab w:val="num" w:pos="0"/>
        </w:tabs>
        <w:ind w:left="7281" w:hanging="360"/>
      </w:pPr>
      <w:rPr/>
    </w:lvl>
    <w:lvl w:ilvl="8">
      <w:start w:val="1"/>
      <w:numFmt w:val="lowerRoman"/>
      <w:lvlText w:val="%9."/>
      <w:lvlJc w:val="right"/>
      <w:pPr>
        <w:tabs>
          <w:tab w:val="num" w:pos="0"/>
        </w:tabs>
        <w:ind w:left="8001" w:hanging="180"/>
      </w:pPr>
      <w:rPr/>
    </w:lvl>
  </w:abstractNum>
  <w:abstractNum w:abstractNumId="3">
    <w:lvl w:ilvl="0">
      <w:start w:val="1"/>
      <w:numFmt w:val="decimal"/>
      <w:lvlText w:val="%1."/>
      <w:lvlJc w:val="left"/>
      <w:pPr>
        <w:tabs>
          <w:tab w:val="num" w:pos="737"/>
        </w:tabs>
        <w:ind w:left="737" w:hanging="737"/>
      </w:pPr>
      <w:rPr>
        <w:caps/>
        <w:dstrike w:val="false"/>
        <w:strike w:val="false"/>
        <w:vertAlign w:val="baseline"/>
        <w:position w:val="0"/>
        <w:sz w:val="22"/>
        <w:sz w:val="22"/>
        <w:i w:val="false"/>
        <w:b/>
        <w:szCs w:val="24"/>
        <w:vanish w:val="false"/>
        <w:color w:val="00000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74"/>
        </w:tabs>
        <w:ind w:left="1474" w:hanging="737"/>
      </w:pPr>
      <w:rPr/>
    </w:lvl>
    <w:lvl w:ilvl="2">
      <w:start w:val="1"/>
      <w:numFmt w:val="decimal"/>
      <w:lvlText w:val="%1.%2.%3"/>
      <w:lvlJc w:val="left"/>
      <w:pPr>
        <w:tabs>
          <w:tab w:val="num" w:pos="2211"/>
        </w:tabs>
        <w:ind w:left="2211" w:hanging="737"/>
      </w:pPr>
      <w:rPr/>
    </w:lvl>
    <w:lvl w:ilvl="3">
      <w:start w:val="1"/>
      <w:numFmt w:val="decimal"/>
      <w:lvlText w:val="%1.%2.%3.%4"/>
      <w:lvlJc w:val="left"/>
      <w:pPr>
        <w:tabs>
          <w:tab w:val="num" w:pos="3062"/>
        </w:tabs>
        <w:ind w:left="3062" w:hanging="851"/>
      </w:pPr>
      <w:rPr/>
    </w:lvl>
    <w:lvl w:ilvl="4">
      <w:start w:val="1"/>
      <w:numFmt w:val="decimal"/>
      <w:lvlText w:val="%1.%2.%3.%4.%5"/>
      <w:lvlJc w:val="left"/>
      <w:pPr>
        <w:tabs>
          <w:tab w:val="num" w:pos="3799"/>
        </w:tabs>
        <w:ind w:left="3799" w:hanging="737"/>
      </w:pPr>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4">
    <w:lvl w:ilvl="0">
      <w:start w:val="1"/>
      <w:numFmt w:val="lowerLetter"/>
      <w:lvlText w:val="%1)"/>
      <w:lvlJc w:val="left"/>
      <w:pPr>
        <w:tabs>
          <w:tab w:val="num" w:pos="0"/>
        </w:tabs>
        <w:ind w:left="2931" w:hanging="360"/>
      </w:pPr>
      <w:rPr/>
    </w:lvl>
    <w:lvl w:ilvl="1">
      <w:start w:val="1"/>
      <w:numFmt w:val="lowerLetter"/>
      <w:lvlText w:val="%2."/>
      <w:lvlJc w:val="left"/>
      <w:pPr>
        <w:tabs>
          <w:tab w:val="num" w:pos="0"/>
        </w:tabs>
        <w:ind w:left="3651" w:hanging="360"/>
      </w:pPr>
      <w:rPr/>
    </w:lvl>
    <w:lvl w:ilvl="2">
      <w:start w:val="1"/>
      <w:numFmt w:val="lowerRoman"/>
      <w:lvlText w:val="%3."/>
      <w:lvlJc w:val="right"/>
      <w:pPr>
        <w:tabs>
          <w:tab w:val="num" w:pos="0"/>
        </w:tabs>
        <w:ind w:left="4371" w:hanging="180"/>
      </w:pPr>
      <w:rPr/>
    </w:lvl>
    <w:lvl w:ilvl="3">
      <w:start w:val="1"/>
      <w:numFmt w:val="decimal"/>
      <w:lvlText w:val="%4."/>
      <w:lvlJc w:val="left"/>
      <w:pPr>
        <w:tabs>
          <w:tab w:val="num" w:pos="0"/>
        </w:tabs>
        <w:ind w:left="5091" w:hanging="360"/>
      </w:pPr>
      <w:rPr/>
    </w:lvl>
    <w:lvl w:ilvl="4">
      <w:start w:val="1"/>
      <w:numFmt w:val="lowerLetter"/>
      <w:lvlText w:val="%5."/>
      <w:lvlJc w:val="left"/>
      <w:pPr>
        <w:tabs>
          <w:tab w:val="num" w:pos="0"/>
        </w:tabs>
        <w:ind w:left="5811" w:hanging="360"/>
      </w:pPr>
      <w:rPr/>
    </w:lvl>
    <w:lvl w:ilvl="5">
      <w:start w:val="1"/>
      <w:numFmt w:val="lowerRoman"/>
      <w:lvlText w:val="%6."/>
      <w:lvlJc w:val="right"/>
      <w:pPr>
        <w:tabs>
          <w:tab w:val="num" w:pos="0"/>
        </w:tabs>
        <w:ind w:left="6531" w:hanging="180"/>
      </w:pPr>
      <w:rPr/>
    </w:lvl>
    <w:lvl w:ilvl="6">
      <w:start w:val="1"/>
      <w:numFmt w:val="decimal"/>
      <w:lvlText w:val="%7."/>
      <w:lvlJc w:val="left"/>
      <w:pPr>
        <w:tabs>
          <w:tab w:val="num" w:pos="0"/>
        </w:tabs>
        <w:ind w:left="7251" w:hanging="360"/>
      </w:pPr>
      <w:rPr/>
    </w:lvl>
    <w:lvl w:ilvl="7">
      <w:start w:val="1"/>
      <w:numFmt w:val="lowerLetter"/>
      <w:lvlText w:val="%8."/>
      <w:lvlJc w:val="left"/>
      <w:pPr>
        <w:tabs>
          <w:tab w:val="num" w:pos="0"/>
        </w:tabs>
        <w:ind w:left="7971" w:hanging="360"/>
      </w:pPr>
      <w:rPr/>
    </w:lvl>
    <w:lvl w:ilvl="8">
      <w:start w:val="1"/>
      <w:numFmt w:val="lowerRoman"/>
      <w:lvlText w:val="%9."/>
      <w:lvlJc w:val="right"/>
      <w:pPr>
        <w:tabs>
          <w:tab w:val="num" w:pos="0"/>
        </w:tabs>
        <w:ind w:left="8691" w:hanging="180"/>
      </w:pPr>
      <w:rPr/>
    </w:lvl>
  </w:abstractNum>
  <w:abstractNum w:abstractNumId="5">
    <w:lvl w:ilvl="0">
      <w:start w:val="1"/>
      <w:numFmt w:val="decimal"/>
      <w:lvlText w:val="%1."/>
      <w:lvlJc w:val="left"/>
      <w:pPr>
        <w:tabs>
          <w:tab w:val="num" w:pos="737"/>
        </w:tabs>
        <w:ind w:left="737" w:hanging="737"/>
      </w:pPr>
      <w:rPr>
        <w:caps/>
        <w:dstrike w:val="false"/>
        <w:strike w:val="false"/>
        <w:vertAlign w:val="baseline"/>
        <w:position w:val="0"/>
        <w:sz w:val="22"/>
        <w:sz w:val="22"/>
        <w:i w:val="false"/>
        <w:b/>
        <w:szCs w:val="24"/>
        <w:vanish w:val="false"/>
        <w:color w:val="00000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74"/>
        </w:tabs>
        <w:ind w:left="1474" w:hanging="737"/>
      </w:pPr>
      <w:rPr/>
    </w:lvl>
    <w:lvl w:ilvl="2">
      <w:start w:val="1"/>
      <w:numFmt w:val="decimal"/>
      <w:lvlText w:val="%1.%2.%3"/>
      <w:lvlJc w:val="left"/>
      <w:pPr>
        <w:tabs>
          <w:tab w:val="num" w:pos="2211"/>
        </w:tabs>
        <w:ind w:left="2211" w:hanging="737"/>
      </w:pPr>
      <w:rPr/>
    </w:lvl>
    <w:lvl w:ilvl="3">
      <w:start w:val="1"/>
      <w:numFmt w:val="lowerLetter"/>
      <w:lvlText w:val="%4)"/>
      <w:lvlJc w:val="left"/>
      <w:pPr>
        <w:tabs>
          <w:tab w:val="num" w:pos="3062"/>
        </w:tabs>
        <w:ind w:left="3062" w:hanging="851"/>
      </w:pPr>
      <w:rPr/>
    </w:lvl>
    <w:lvl w:ilvl="4">
      <w:start w:val="1"/>
      <w:numFmt w:val="decimal"/>
      <w:lvlText w:val="%1.%2.%3.%4.%5"/>
      <w:lvlJc w:val="left"/>
      <w:pPr>
        <w:tabs>
          <w:tab w:val="num" w:pos="3799"/>
        </w:tabs>
        <w:ind w:left="3799" w:hanging="737"/>
      </w:pPr>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1"/>
    <w:lvlOverride w:ilvl="0">
      <w:startOverride w:val="1"/>
    </w:lvlOverride>
    <w:lvlOverride w:ilvl="1">
      <w:lvl w:ilvl="1">
        <w:start w:val="1"/>
        <w:numFmt w:val="decimal"/>
        <w:lvlText w:val="%1.%2"/>
        <w:lvlJc w:val="left"/>
        <w:pPr>
          <w:tabs>
            <w:tab w:val="num" w:pos="1474"/>
          </w:tabs>
          <w:ind w:left="1474" w:hanging="737"/>
        </w:pPr>
        <w:rPr/>
      </w:lvl>
    </w:lvlOverride>
  </w:num>
  <w:num w:numId="8">
    <w:abstractNumId w:val="1"/>
    <w:lvlOverride w:ilvl="1">
      <w:lvl w:ilvl="1">
        <w:start w:val="1"/>
        <w:numFmt w:val="decimal"/>
        <w:lvlText w:val="%1.%2"/>
        <w:lvlJc w:val="left"/>
        <w:pPr>
          <w:tabs>
            <w:tab w:val="num" w:pos="1474"/>
          </w:tabs>
          <w:ind w:left="1474" w:hanging="737"/>
        </w:pPr>
        <w:rPr/>
      </w:lvl>
    </w:lvlOverride>
    <w:lvlOverride w:ilvl="3">
      <w:lvl w:ilvl="3">
        <w:start w:val="1"/>
        <w:numFmt w:val="decimal"/>
        <w:lvlText w:val="%1.%2.%3.%4"/>
        <w:lvlJc w:val="left"/>
        <w:pPr>
          <w:tabs>
            <w:tab w:val="num" w:pos="3062"/>
          </w:tabs>
          <w:ind w:left="3062" w:hanging="851"/>
        </w:pPr>
        <w:rPr/>
      </w:lvl>
    </w:lvlOverride>
  </w:num>
</w:numbering>
</file>

<file path=word/settings.xml><?xml version="1.0" encoding="utf-8"?>
<w:settings xmlns:w="http://schemas.openxmlformats.org/wordprocessingml/2006/main">
  <w:zoom w:percent="14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cs-C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cs-CZ" w:eastAsia="cs-CZ" w:bidi="ar-SA"/>
      </w:rPr>
    </w:rPrDefault>
    <w:pPrDefault>
      <w:pPr>
        <w:suppressAutoHyphens w:val="true"/>
      </w:pPr>
    </w:pPrDefault>
  </w:docDefaults>
  <w:latentStyles w:defLockedState="0" w:defUIPriority="0" w:defSemiHidden="0" w:defUnhideWhenUsed="0" w:defQFormat="0" w:count="376">
    <w:lsdException w:name="Normal" w:qFormat="1"/>
    <w:lsdException w:name="heading 1" w:uiPriority="9" w:qFormat="1"/>
    <w:lsdException w:name="heading 2" w:uiPriority="9"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uiPriority="99"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f021ac"/>
    <w:pPr>
      <w:widowControl/>
      <w:bidi w:val="0"/>
      <w:spacing w:lineRule="exact" w:line="280" w:before="0" w:after="120"/>
      <w:jc w:val="left"/>
    </w:pPr>
    <w:rPr>
      <w:rFonts w:ascii="Calibri" w:hAnsi="Calibri" w:eastAsia="Times New Roman" w:cs="Times New Roman"/>
      <w:color w:val="auto"/>
      <w:kern w:val="0"/>
      <w:sz w:val="22"/>
      <w:szCs w:val="24"/>
      <w:lang w:val="cs-CZ" w:eastAsia="cs-CZ" w:bidi="ar-SA"/>
    </w:rPr>
  </w:style>
  <w:style w:type="paragraph" w:styleId="Nadpis1">
    <w:name w:val="Heading 1"/>
    <w:basedOn w:val="Normal"/>
    <w:next w:val="Normal"/>
    <w:uiPriority w:val="9"/>
    <w:qFormat/>
    <w:rsid w:val="005f76f9"/>
    <w:pPr>
      <w:keepNext w:val="true"/>
      <w:spacing w:before="240" w:after="60"/>
      <w:outlineLvl w:val="0"/>
    </w:pPr>
    <w:rPr>
      <w:rFonts w:ascii="Arial" w:hAnsi="Arial" w:cs="Arial"/>
      <w:b/>
      <w:bCs/>
      <w:kern w:val="2"/>
      <w:sz w:val="32"/>
      <w:szCs w:val="32"/>
    </w:rPr>
  </w:style>
  <w:style w:type="paragraph" w:styleId="Nadpis2">
    <w:name w:val="Heading 2"/>
    <w:basedOn w:val="Normal"/>
    <w:next w:val="Normal"/>
    <w:link w:val="Nadpis2Char"/>
    <w:autoRedefine/>
    <w:uiPriority w:val="9"/>
    <w:qFormat/>
    <w:rsid w:val="001e038b"/>
    <w:pPr>
      <w:keepNext w:val="true"/>
      <w:spacing w:lineRule="auto" w:line="240" w:before="240" w:after="120"/>
      <w:ind w:left="720" w:hanging="180"/>
      <w:jc w:val="both"/>
      <w:outlineLvl w:val="1"/>
    </w:pPr>
    <w:rPr>
      <w:rFonts w:ascii="Arial" w:hAnsi="Arial" w:cs="Arial"/>
      <w:b/>
      <w:szCs w:val="18"/>
    </w:rPr>
  </w:style>
  <w:style w:type="character" w:styleId="DefaultParagraphFont" w:default="1">
    <w:name w:val="Default Paragraph Font"/>
    <w:uiPriority w:val="1"/>
    <w:semiHidden/>
    <w:unhideWhenUsed/>
    <w:qFormat/>
    <w:rPr/>
  </w:style>
  <w:style w:type="character" w:styleId="RLlneksmlouvyCharChar" w:customStyle="1">
    <w:name w:val="RL Článek smlouvy Char Char"/>
    <w:basedOn w:val="DefaultParagraphFont"/>
    <w:link w:val="RLlneksmlouvy"/>
    <w:qFormat/>
    <w:rsid w:val="001a1e34"/>
    <w:rPr>
      <w:rFonts w:ascii="Calibri" w:hAnsi="Calibri"/>
      <w:b/>
      <w:sz w:val="22"/>
      <w:szCs w:val="24"/>
      <w:lang w:eastAsia="en-US"/>
    </w:rPr>
  </w:style>
  <w:style w:type="character" w:styleId="Internetovodkaz">
    <w:name w:val="Internetový odkaz"/>
    <w:basedOn w:val="DefaultParagraphFont"/>
    <w:rsid w:val="00094a1c"/>
    <w:rPr>
      <w:color w:val="0000FF"/>
      <w:u w:val="single"/>
    </w:rPr>
  </w:style>
  <w:style w:type="character" w:styleId="Annotationreference">
    <w:name w:val="annotation reference"/>
    <w:basedOn w:val="DefaultParagraphFont"/>
    <w:uiPriority w:val="99"/>
    <w:qFormat/>
    <w:rsid w:val="00ec245f"/>
    <w:rPr>
      <w:sz w:val="16"/>
      <w:szCs w:val="16"/>
    </w:rPr>
  </w:style>
  <w:style w:type="character" w:styleId="Navtveninternetovodkaz">
    <w:name w:val="Navštívený internetový odkaz"/>
    <w:basedOn w:val="DefaultParagraphFont"/>
    <w:rsid w:val="00094a1c"/>
    <w:rPr>
      <w:color w:val="0000FF"/>
      <w:u w:val="single"/>
    </w:rPr>
  </w:style>
  <w:style w:type="character" w:styleId="Kurzva" w:customStyle="1">
    <w:name w:val="Kurzíva"/>
    <w:basedOn w:val="DefaultParagraphFont"/>
    <w:qFormat/>
    <w:rsid w:val="00094a1c"/>
    <w:rPr>
      <w:i/>
    </w:rPr>
  </w:style>
  <w:style w:type="character" w:styleId="RLProhlensmluvnchstranChar" w:customStyle="1">
    <w:name w:val="RL Prohlášení smluvních stran Char"/>
    <w:basedOn w:val="DefaultParagraphFont"/>
    <w:link w:val="RLProhlensmluvnchstran"/>
    <w:qFormat/>
    <w:rsid w:val="00f021ac"/>
    <w:rPr>
      <w:rFonts w:ascii="Calibri" w:hAnsi="Calibri"/>
      <w:b/>
      <w:sz w:val="22"/>
      <w:szCs w:val="24"/>
    </w:rPr>
  </w:style>
  <w:style w:type="character" w:styleId="Pagenumber">
    <w:name w:val="page number"/>
    <w:basedOn w:val="DefaultParagraphFont"/>
    <w:qFormat/>
    <w:rsid w:val="00f2138f"/>
    <w:rPr/>
  </w:style>
  <w:style w:type="character" w:styleId="RLTextlnkuslovanChar" w:customStyle="1">
    <w:name w:val="RL Text článku číslovaný Char"/>
    <w:basedOn w:val="DefaultParagraphFont"/>
    <w:link w:val="RLTextlnkuslovan"/>
    <w:qFormat/>
    <w:rsid w:val="00cb4254"/>
    <w:rPr>
      <w:rFonts w:ascii="Calibri" w:hAnsi="Calibri"/>
      <w:sz w:val="22"/>
      <w:szCs w:val="24"/>
    </w:rPr>
  </w:style>
  <w:style w:type="character" w:styleId="TextkomenteChar" w:customStyle="1">
    <w:name w:val="Text komentáře Char"/>
    <w:basedOn w:val="DefaultParagraphFont"/>
    <w:link w:val="Annotationtext"/>
    <w:qFormat/>
    <w:rsid w:val="00492dcb"/>
    <w:rPr>
      <w:rFonts w:ascii="Calibri" w:hAnsi="Calibri"/>
    </w:rPr>
  </w:style>
  <w:style w:type="character" w:styleId="Nadpis2Char" w:customStyle="1">
    <w:name w:val="Nadpis 2 Char"/>
    <w:basedOn w:val="DefaultParagraphFont"/>
    <w:uiPriority w:val="9"/>
    <w:qFormat/>
    <w:rsid w:val="001e038b"/>
    <w:rPr>
      <w:rFonts w:ascii="Arial" w:hAnsi="Arial" w:cs="Arial"/>
      <w:b/>
      <w:sz w:val="22"/>
      <w:szCs w:val="18"/>
    </w:rPr>
  </w:style>
  <w:style w:type="character" w:styleId="TextpoznpodarouChar" w:customStyle="1">
    <w:name w:val="Text pozn. pod čarou Char"/>
    <w:basedOn w:val="DefaultParagraphFont"/>
    <w:uiPriority w:val="99"/>
    <w:qFormat/>
    <w:rsid w:val="001e038b"/>
    <w:rPr>
      <w:rFonts w:ascii="Arial" w:hAnsi="Arial"/>
      <w:color w:val="003366"/>
      <w:sz w:val="18"/>
    </w:rPr>
  </w:style>
  <w:style w:type="character" w:styleId="Ukotvenpoznmkypodarou">
    <w:name w:val="Ukotvení poznámky pod čarou"/>
    <w:rPr>
      <w:vertAlign w:val="superscript"/>
    </w:rPr>
  </w:style>
  <w:style w:type="character" w:styleId="FootnoteCharacters">
    <w:name w:val="Footnote Characters"/>
    <w:qFormat/>
    <w:rsid w:val="001e038b"/>
    <w:rPr>
      <w:vertAlign w:val="superscript"/>
    </w:rPr>
  </w:style>
  <w:style w:type="character" w:styleId="TextTun" w:customStyle="1">
    <w:name w:val="Text - Tučné"/>
    <w:basedOn w:val="DefaultParagraphFont"/>
    <w:uiPriority w:val="1"/>
    <w:qFormat/>
    <w:rsid w:val="00de3253"/>
    <w:rPr>
      <w:b/>
      <w:bCs/>
    </w:rPr>
  </w:style>
  <w:style w:type="character" w:styleId="BezmezerChar" w:customStyle="1">
    <w:name w:val="Bez mezer Char"/>
    <w:basedOn w:val="DefaultParagraphFont"/>
    <w:link w:val="NoSpacing"/>
    <w:uiPriority w:val="1"/>
    <w:qFormat/>
    <w:rsid w:val="00de3253"/>
    <w:rPr>
      <w:rFonts w:ascii="Calibri" w:hAnsi="Calibri" w:eastAsia="Calibri" w:cs="" w:asciiTheme="minorHAnsi" w:cstheme="minorBidi" w:eastAsiaTheme="minorHAnsi" w:hAnsiTheme="minorHAnsi"/>
      <w:color w:val="000000" w:themeColor="text1"/>
      <w:sz w:val="21"/>
      <w:szCs w:val="22"/>
      <w:lang w:eastAsia="en-US"/>
    </w:rPr>
  </w:style>
  <w:style w:type="character" w:styleId="Ukotvenvysvtlivky">
    <w:name w:val="Ukotvení vysvětlivky"/>
    <w:rPr>
      <w:rFonts w:ascii="Calibri" w:hAnsi="Calibri" w:asciiTheme="minorHAnsi" w:hAnsiTheme="minorHAnsi"/>
      <w:vertAlign w:val="superscript"/>
    </w:rPr>
  </w:style>
  <w:style w:type="character" w:styleId="EndnoteCharacters">
    <w:name w:val="Endnote Characters"/>
    <w:basedOn w:val="DefaultParagraphFont"/>
    <w:uiPriority w:val="99"/>
    <w:unhideWhenUsed/>
    <w:qFormat/>
    <w:rsid w:val="00de3253"/>
    <w:rPr>
      <w:rFonts w:ascii="Calibri" w:hAnsi="Calibri" w:asciiTheme="minorHAnsi" w:hAnsiTheme="minorHAnsi"/>
      <w:vertAlign w:val="superscript"/>
    </w:rPr>
  </w:style>
  <w:style w:type="character" w:styleId="Strong">
    <w:name w:val="Strong"/>
    <w:qFormat/>
    <w:rsid w:val="00704b72"/>
    <w:rPr>
      <w:b/>
      <w:bCs/>
    </w:rPr>
  </w:style>
  <w:style w:type="character" w:styleId="UnresolvedMention1" w:customStyle="1">
    <w:name w:val="Unresolved Mention1"/>
    <w:basedOn w:val="DefaultParagraphFont"/>
    <w:uiPriority w:val="99"/>
    <w:semiHidden/>
    <w:unhideWhenUsed/>
    <w:qFormat/>
    <w:rsid w:val="008c5ac5"/>
    <w:rPr>
      <w:color w:val="605E5C"/>
      <w:shd w:fill="E1DFDD" w:val="clear"/>
    </w:rPr>
  </w:style>
  <w:style w:type="character" w:styleId="OdstavecseseznamemChar" w:customStyle="1">
    <w:name w:val="Odstavec se seznamem Char"/>
    <w:basedOn w:val="DefaultParagraphFont"/>
    <w:link w:val="ListParagraph"/>
    <w:uiPriority w:val="34"/>
    <w:qFormat/>
    <w:locked/>
    <w:rsid w:val="004e7aae"/>
    <w:rPr>
      <w:rFonts w:ascii="Calibri" w:hAnsi="Calibri"/>
      <w:sz w:val="22"/>
      <w:szCs w:val="24"/>
    </w:rPr>
  </w:style>
  <w:style w:type="character" w:styleId="Znakypropoznmkupodarou">
    <w:name w:val="Znaky pro poznámku pod čarou"/>
    <w:qFormat/>
    <w:rPr/>
  </w:style>
  <w:style w:type="character" w:styleId="Znakyprovysvtlivky">
    <w:name w:val="Znaky pro vysvětlivky"/>
    <w:qFormat/>
    <w:rPr/>
  </w:style>
  <w:style w:type="paragraph" w:styleId="Nadpis">
    <w:name w:val="Nadpis"/>
    <w:basedOn w:val="Normal"/>
    <w:next w:val="Tlotextu"/>
    <w:qFormat/>
    <w:pPr>
      <w:keepNext w:val="true"/>
      <w:spacing w:before="240" w:after="120"/>
    </w:pPr>
    <w:rPr>
      <w:rFonts w:ascii="Liberation Sans" w:hAnsi="Liberation Sans" w:eastAsia="Microsoft YaHei" w:cs="Lucida Sans"/>
      <w:sz w:val="28"/>
      <w:szCs w:val="28"/>
    </w:rPr>
  </w:style>
  <w:style w:type="paragraph" w:styleId="Tlotextu">
    <w:name w:val="Body Text"/>
    <w:basedOn w:val="Normal"/>
    <w:pPr>
      <w:spacing w:lineRule="auto" w:line="276" w:before="0" w:after="140"/>
    </w:pPr>
    <w:rPr/>
  </w:style>
  <w:style w:type="paragraph" w:styleId="Seznam">
    <w:name w:val="List"/>
    <w:basedOn w:val="Tlotextu"/>
    <w:pPr/>
    <w:rPr>
      <w:rFonts w:cs="Lucida Sans"/>
    </w:rPr>
  </w:style>
  <w:style w:type="paragraph" w:styleId="Popisek">
    <w:name w:val="Caption"/>
    <w:basedOn w:val="Normal"/>
    <w:qFormat/>
    <w:pPr>
      <w:suppressLineNumbers/>
      <w:spacing w:before="120" w:after="120"/>
    </w:pPr>
    <w:rPr>
      <w:rFonts w:cs="Lucida Sans"/>
      <w:i/>
      <w:iCs/>
      <w:sz w:val="24"/>
      <w:szCs w:val="24"/>
    </w:rPr>
  </w:style>
  <w:style w:type="paragraph" w:styleId="Rejstk">
    <w:name w:val="Rejstřík"/>
    <w:basedOn w:val="Normal"/>
    <w:qFormat/>
    <w:pPr>
      <w:suppressLineNumbers/>
    </w:pPr>
    <w:rPr>
      <w:rFonts w:cs="Lucida Sans"/>
      <w:lang w:val="zxx" w:eastAsia="zxx" w:bidi="zxx"/>
    </w:rPr>
  </w:style>
  <w:style w:type="paragraph" w:styleId="RLTextlnkuslovan" w:customStyle="1">
    <w:name w:val="RL Text článku číslovaný"/>
    <w:basedOn w:val="Normal"/>
    <w:link w:val="RLTextlnkuslovanChar"/>
    <w:qFormat/>
    <w:rsid w:val="00e43f5c"/>
    <w:pPr>
      <w:numPr>
        <w:ilvl w:val="1"/>
        <w:numId w:val="1"/>
      </w:numPr>
      <w:jc w:val="both"/>
    </w:pPr>
    <w:rPr/>
  </w:style>
  <w:style w:type="paragraph" w:styleId="RLlneksmlouvy" w:customStyle="1">
    <w:name w:val="RL Článek smlouvy"/>
    <w:basedOn w:val="Normal"/>
    <w:next w:val="RLTextlnkuslovan"/>
    <w:link w:val="RLlneksmlouvyCharChar"/>
    <w:qFormat/>
    <w:rsid w:val="00ec245f"/>
    <w:pPr>
      <w:keepNext w:val="true"/>
      <w:numPr>
        <w:ilvl w:val="0"/>
        <w:numId w:val="1"/>
      </w:numPr>
      <w:suppressAutoHyphens w:val="true"/>
      <w:spacing w:before="360" w:after="120"/>
      <w:jc w:val="both"/>
      <w:outlineLvl w:val="0"/>
    </w:pPr>
    <w:rPr>
      <w:b/>
      <w:lang w:eastAsia="en-US"/>
    </w:rPr>
  </w:style>
  <w:style w:type="paragraph" w:styleId="RLdajeosmluvnstran" w:customStyle="1">
    <w:name w:val="RL Údaje o smluvní straně"/>
    <w:basedOn w:val="Normal"/>
    <w:qFormat/>
    <w:rsid w:val="00ca53f7"/>
    <w:pPr>
      <w:jc w:val="center"/>
    </w:pPr>
    <w:rPr>
      <w:lang w:eastAsia="en-US"/>
    </w:rPr>
  </w:style>
  <w:style w:type="paragraph" w:styleId="RLProhlensmluvnchstran" w:customStyle="1">
    <w:name w:val="RL Prohlášení smluvních stran"/>
    <w:basedOn w:val="Normal"/>
    <w:link w:val="RLProhlensmluvnchstranChar"/>
    <w:qFormat/>
    <w:rsid w:val="00f021ac"/>
    <w:pPr>
      <w:jc w:val="center"/>
    </w:pPr>
    <w:rPr>
      <w:b/>
    </w:rPr>
  </w:style>
  <w:style w:type="paragraph" w:styleId="Nzev">
    <w:name w:val="Title"/>
    <w:basedOn w:val="Normal"/>
    <w:qFormat/>
    <w:rsid w:val="00a02dfc"/>
    <w:pPr>
      <w:spacing w:before="240" w:after="60"/>
      <w:jc w:val="center"/>
      <w:outlineLvl w:val="0"/>
    </w:pPr>
    <w:rPr>
      <w:rFonts w:ascii="Arial" w:hAnsi="Arial" w:cs="Arial"/>
      <w:b/>
      <w:bCs/>
      <w:kern w:val="2"/>
      <w:sz w:val="32"/>
      <w:szCs w:val="32"/>
    </w:rPr>
  </w:style>
  <w:style w:type="paragraph" w:styleId="RLSeznamploh" w:customStyle="1">
    <w:name w:val="RL Seznam příloh"/>
    <w:basedOn w:val="RLTextlnkuslovan"/>
    <w:qFormat/>
    <w:rsid w:val="00b26686"/>
    <w:pPr>
      <w:numPr>
        <w:ilvl w:val="0"/>
        <w:numId w:val="0"/>
      </w:numPr>
      <w:ind w:left="3572" w:hanging="1361"/>
    </w:pPr>
    <w:rPr>
      <w:szCs w:val="20"/>
      <w:lang w:eastAsia="en-US"/>
    </w:rPr>
  </w:style>
  <w:style w:type="paragraph" w:styleId="RLNzevsmlouvy" w:customStyle="1">
    <w:name w:val="RL Název smlouvy"/>
    <w:basedOn w:val="Normal"/>
    <w:next w:val="Normal"/>
    <w:qFormat/>
    <w:rsid w:val="00c70f7a"/>
    <w:pPr>
      <w:spacing w:lineRule="auto" w:line="240" w:before="120" w:after="1200"/>
      <w:jc w:val="center"/>
    </w:pPr>
    <w:rPr>
      <w:rFonts w:cs="Arial"/>
      <w:b/>
      <w:bCs/>
      <w:caps/>
      <w:spacing w:val="40"/>
      <w:kern w:val="2"/>
      <w:sz w:val="32"/>
      <w:szCs w:val="32"/>
    </w:rPr>
  </w:style>
  <w:style w:type="paragraph" w:styleId="Zhlavazpat">
    <w:name w:val="Záhlaví a zápatí"/>
    <w:basedOn w:val="Normal"/>
    <w:qFormat/>
    <w:pPr/>
    <w:rPr/>
  </w:style>
  <w:style w:type="paragraph" w:styleId="Zpat">
    <w:name w:val="Footer"/>
    <w:basedOn w:val="Normal"/>
    <w:rsid w:val="0094351e"/>
    <w:pPr>
      <w:pBdr>
        <w:top w:val="dotted" w:sz="6" w:space="6" w:color="000000"/>
      </w:pBdr>
      <w:spacing w:before="0" w:after="0"/>
      <w:jc w:val="center"/>
    </w:pPr>
    <w:rPr>
      <w:color w:val="808080"/>
      <w:sz w:val="16"/>
    </w:rPr>
  </w:style>
  <w:style w:type="paragraph" w:styleId="Zhlav">
    <w:name w:val="Header"/>
    <w:basedOn w:val="Normal"/>
    <w:rsid w:val="0094351e"/>
    <w:pPr>
      <w:pBdr>
        <w:bottom w:val="single" w:sz="6" w:space="6" w:color="808080"/>
      </w:pBdr>
      <w:tabs>
        <w:tab w:val="clear" w:pos="708"/>
        <w:tab w:val="center" w:pos="4536" w:leader="none"/>
        <w:tab w:val="right" w:pos="9072" w:leader="none"/>
      </w:tabs>
      <w:spacing w:before="0" w:after="0"/>
    </w:pPr>
    <w:rPr>
      <w:b/>
      <w:sz w:val="16"/>
    </w:rPr>
  </w:style>
  <w:style w:type="paragraph" w:styleId="Annotationtext">
    <w:name w:val="annotation text"/>
    <w:basedOn w:val="Normal"/>
    <w:link w:val="TextkomenteChar"/>
    <w:qFormat/>
    <w:rsid w:val="00ec245f"/>
    <w:pPr/>
    <w:rPr>
      <w:sz w:val="20"/>
      <w:szCs w:val="20"/>
    </w:rPr>
  </w:style>
  <w:style w:type="paragraph" w:styleId="Annotationsubject">
    <w:name w:val="annotation subject"/>
    <w:basedOn w:val="Annotationtext"/>
    <w:next w:val="Annotationtext"/>
    <w:semiHidden/>
    <w:qFormat/>
    <w:rsid w:val="00ec245f"/>
    <w:pPr/>
    <w:rPr>
      <w:b/>
      <w:bCs/>
    </w:rPr>
  </w:style>
  <w:style w:type="paragraph" w:styleId="BalloonText">
    <w:name w:val="Balloon Text"/>
    <w:basedOn w:val="Normal"/>
    <w:semiHidden/>
    <w:qFormat/>
    <w:rsid w:val="00ec245f"/>
    <w:pPr/>
    <w:rPr>
      <w:rFonts w:ascii="Tahoma" w:hAnsi="Tahoma" w:cs="Tahoma"/>
      <w:sz w:val="16"/>
      <w:szCs w:val="16"/>
    </w:rPr>
  </w:style>
  <w:style w:type="paragraph" w:styleId="ListParagraph">
    <w:name w:val="List Paragraph"/>
    <w:basedOn w:val="Normal"/>
    <w:link w:val="OdstavecseseznamemChar"/>
    <w:uiPriority w:val="34"/>
    <w:qFormat/>
    <w:rsid w:val="00e34772"/>
    <w:pPr>
      <w:spacing w:before="0" w:after="120"/>
      <w:ind w:left="720" w:hanging="0"/>
      <w:contextualSpacing/>
    </w:pPr>
    <w:rPr/>
  </w:style>
  <w:style w:type="paragraph" w:styleId="Poznmkapodarou">
    <w:name w:val="Footnote Text"/>
    <w:basedOn w:val="Normal"/>
    <w:link w:val="TextpoznpodarouChar"/>
    <w:uiPriority w:val="99"/>
    <w:rsid w:val="001e038b"/>
    <w:pPr>
      <w:spacing w:lineRule="auto" w:line="240" w:before="0" w:after="0"/>
    </w:pPr>
    <w:rPr>
      <w:rFonts w:ascii="Arial" w:hAnsi="Arial"/>
      <w:color w:val="003366"/>
      <w:sz w:val="18"/>
      <w:szCs w:val="20"/>
    </w:rPr>
  </w:style>
  <w:style w:type="paragraph" w:styleId="StylTahoma9bZa7b" w:customStyle="1">
    <w:name w:val="Styl Tahoma 9 b. Za:  7 b."/>
    <w:basedOn w:val="Normal"/>
    <w:qFormat/>
    <w:rsid w:val="001e038b"/>
    <w:pPr>
      <w:spacing w:lineRule="auto" w:line="240" w:before="0" w:after="140"/>
    </w:pPr>
    <w:rPr>
      <w:rFonts w:ascii="Tahoma" w:hAnsi="Tahoma" w:eastAsia="Calibri"/>
      <w:color w:val="232D6E"/>
      <w:sz w:val="18"/>
      <w:szCs w:val="20"/>
      <w:lang w:eastAsia="en-US"/>
    </w:rPr>
  </w:style>
  <w:style w:type="paragraph" w:styleId="Revision">
    <w:name w:val="Revision"/>
    <w:uiPriority w:val="99"/>
    <w:semiHidden/>
    <w:qFormat/>
    <w:rsid w:val="0006213e"/>
    <w:pPr>
      <w:widowControl/>
      <w:bidi w:val="0"/>
      <w:spacing w:before="0" w:after="0"/>
      <w:jc w:val="left"/>
    </w:pPr>
    <w:rPr>
      <w:rFonts w:ascii="Calibri" w:hAnsi="Calibri" w:eastAsia="Times New Roman" w:cs="Times New Roman"/>
      <w:color w:val="auto"/>
      <w:kern w:val="0"/>
      <w:sz w:val="22"/>
      <w:szCs w:val="24"/>
      <w:lang w:val="cs-CZ" w:eastAsia="cs-CZ" w:bidi="ar-SA"/>
    </w:rPr>
  </w:style>
  <w:style w:type="paragraph" w:styleId="NoSpacing">
    <w:name w:val="No Spacing"/>
    <w:basedOn w:val="Normal"/>
    <w:next w:val="Normal"/>
    <w:link w:val="BezmezerChar"/>
    <w:uiPriority w:val="1"/>
    <w:qFormat/>
    <w:rsid w:val="00de3253"/>
    <w:pPr>
      <w:spacing w:lineRule="auto" w:line="276" w:before="0" w:after="0"/>
      <w:jc w:val="both"/>
    </w:pPr>
    <w:rPr>
      <w:rFonts w:ascii="Calibri" w:hAnsi="Calibri" w:eastAsia="Calibri" w:cs="" w:asciiTheme="minorHAnsi" w:cstheme="minorBidi" w:eastAsiaTheme="minorHAnsi" w:hAnsiTheme="minorHAnsi"/>
      <w:color w:val="000000" w:themeColor="text1"/>
      <w:sz w:val="21"/>
      <w:szCs w:val="22"/>
      <w:lang w:eastAsia="en-US"/>
    </w:rPr>
  </w:style>
  <w:style w:type="paragraph" w:styleId="Obsahrmce">
    <w:name w:val="Obsah rámce"/>
    <w:basedOn w:val="Normal"/>
    <w:qFormat/>
    <w:pPr/>
    <w:rPr/>
  </w:style>
  <w:style w:type="paragraph" w:styleId="Obsahtabulky">
    <w:name w:val="Obsah tabulky"/>
    <w:basedOn w:val="Normal"/>
    <w:qFormat/>
    <w:pPr>
      <w:widowControl w:val="false"/>
      <w:suppressLineNumbers/>
    </w:pPr>
    <w:rPr/>
  </w:style>
  <w:style w:type="paragraph" w:styleId="Nadpistabulky">
    <w:name w:val="Nadpis tabulky"/>
    <w:basedOn w:val="Obsahtabulky"/>
    <w:qFormat/>
    <w:pPr>
      <w:suppressLineNumbers/>
      <w:jc w:val="center"/>
    </w:pPr>
    <w:rPr>
      <w:b/>
      <w:bCs/>
    </w:rPr>
  </w:style>
  <w:style w:type="numbering" w:styleId="NoList" w:default="1">
    <w:name w:val="No List"/>
    <w:uiPriority w:val="99"/>
    <w:semiHidden/>
    <w:unhideWhenUsed/>
    <w:qFormat/>
  </w:style>
  <w:style w:type="table" w:default="1" w:styleId="Normlntabulka">
    <w:name w:val="Normal Table"/>
    <w:uiPriority w:val="99"/>
    <w:semiHidden/>
    <w:unhideWhenUsed/>
    <w:tblPr>
      <w:tblCellMar>
        <w:top w:w="0" w:type="dxa"/>
        <w:left w:w="108" w:type="dxa"/>
        <w:bottom w:w="0" w:type="dxa"/>
        <w:right w:w="108" w:type="dxa"/>
      </w:tblCellMar>
    </w:tblPr>
  </w:style>
  <w:style w:type="table" w:styleId="Mkatabulky">
    <w:name w:val="Table Grid"/>
    <w:basedOn w:val="Normlntabulka"/>
    <w:rsid w:val="00cb4254"/>
    <w:pPr>
      <w:spacing w:after="120" w:line="28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Svtltabulkasmkou1zvraznn11">
    <w:name w:val="Světlá tabulka s mřížkou 1 – zvýraznění 11"/>
    <w:basedOn w:val="Normlntabulka"/>
    <w:uiPriority w:val="46"/>
    <w:rsid w:val="00467c94"/>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blPr/>
      <w:tcPr>
        <w:tcBorders>
          <w:bottom w:val="single" w:color="95B3D7" w:themeColor="accent1" w:sz="12" w:space="0"/>
        </w:tcBorders>
      </w:tcPr>
    </w:tblStylePr>
    <w:tblStylePr w:type="lastRow">
      <w:rPr>
        <w:b/>
        <w:bCs/>
      </w:rPr>
      <w:tblPr/>
      <w:tcPr>
        <w:tcBorders>
          <w:top w:val="double" w:color="95B3D7" w:themeColor="accent1" w:sz="2" w:space="0"/>
        </w:tcBorders>
      </w:tcPr>
    </w:tblStylePr>
    <w:tblStylePr w:type="firstCol">
      <w:rPr>
        <w:b/>
        <w:bCs/>
      </w:rPr>
      <w:tblPr/>
    </w:tblStylePr>
    <w:tblStylePr w:type="lastCol">
      <w:rPr>
        <w:b/>
        <w:bCs/>
      </w:rPr>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yperlink" Target="mailto:hotline@vera.cz" TargetMode="External"/><Relationship Id="rId7" Type="http://schemas.openxmlformats.org/officeDocument/2006/relationships/hyperlink" Target="https://helpdesk.vera.cz/ih/ihzakaznik" TargetMode="External"/><Relationship Id="rId8" Type="http://schemas.openxmlformats.org/officeDocument/2006/relationships/header" Target="header3.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footer" Target="footer4.xml"/><Relationship Id="rId12" Type="http://schemas.openxmlformats.org/officeDocument/2006/relationships/header" Target="header5.xml"/><Relationship Id="rId13" Type="http://schemas.openxmlformats.org/officeDocument/2006/relationships/footer" Target="footer5.xml"/><Relationship Id="rId14" Type="http://schemas.openxmlformats.org/officeDocument/2006/relationships/header" Target="header6.xml"/><Relationship Id="rId15" Type="http://schemas.openxmlformats.org/officeDocument/2006/relationships/footer" Target="footer6.xml"/><Relationship Id="rId16" Type="http://schemas.openxmlformats.org/officeDocument/2006/relationships/header" Target="header7.xml"/><Relationship Id="rId17" Type="http://schemas.openxmlformats.org/officeDocument/2006/relationships/header" Target="header8.xml"/><Relationship Id="rId18" Type="http://schemas.openxmlformats.org/officeDocument/2006/relationships/footer" Target="footer7.xml"/><Relationship Id="rId19" Type="http://schemas.openxmlformats.org/officeDocument/2006/relationships/footer" Target="footer8.xml"/><Relationship Id="rId20" Type="http://schemas.openxmlformats.org/officeDocument/2006/relationships/footnotes" Target="footnote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Relationship Id="rId26" Type="http://schemas.openxmlformats.org/officeDocument/2006/relationships/customXml" Target="../customXml/item2.xml"/><Relationship Id="rId27" Type="http://schemas.openxmlformats.org/officeDocument/2006/relationships/customXml" Target="../customXml/item3.xml"/><Relationship Id="rId28" Type="http://schemas.openxmlformats.org/officeDocument/2006/relationships/customXml" Target="../customXml/item4.xml"/>
</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8FB1EA64206CC4DA2AC589EEF45B116" ma:contentTypeVersion="11" ma:contentTypeDescription="Vytvoří nový dokument" ma:contentTypeScope="" ma:versionID="c4cd8bddd02b71efb89a42b117cd8ab4">
  <xsd:schema xmlns:xsd="http://www.w3.org/2001/XMLSchema" xmlns:xs="http://www.w3.org/2001/XMLSchema" xmlns:p="http://schemas.microsoft.com/office/2006/metadata/properties" xmlns:ns2="29f2459e-76e2-414c-821b-6dbda563a838" xmlns:ns3="f3eee1ab-ec1d-45a6-a70c-a7e3f11e3af7" targetNamespace="http://schemas.microsoft.com/office/2006/metadata/properties" ma:root="true" ma:fieldsID="34b5268b2bc7cc31f163643a20450d57" ns2:_="" ns3:_="">
    <xsd:import namespace="29f2459e-76e2-414c-821b-6dbda563a838"/>
    <xsd:import namespace="f3eee1ab-ec1d-45a6-a70c-a7e3f11e3af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2459e-76e2-414c-821b-6dbda563a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eee1ab-ec1d-45a6-a70c-a7e3f11e3af7" elementFormDefault="qualified">
    <xsd:import namespace="http://schemas.microsoft.com/office/2006/documentManagement/types"/>
    <xsd:import namespace="http://schemas.microsoft.com/office/infopath/2007/PartnerControls"/>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7603A-C7F4-4866-9229-C3AB6C863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2459e-76e2-414c-821b-6dbda563a838"/>
    <ds:schemaRef ds:uri="f3eee1ab-ec1d-45a6-a70c-a7e3f11e3a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DFADE1-5C18-41BE-8AD1-A13C433D6D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18BF22-BCBC-4A03-98A9-0B88FB424AC8}">
  <ds:schemaRefs>
    <ds:schemaRef ds:uri="http://schemas.microsoft.com/sharepoint/v3/contenttype/forms"/>
  </ds:schemaRefs>
</ds:datastoreItem>
</file>

<file path=customXml/itemProps4.xml><?xml version="1.0" encoding="utf-8"?>
<ds:datastoreItem xmlns:ds="http://schemas.openxmlformats.org/officeDocument/2006/customXml" ds:itemID="{358AD2CB-8C16-4D4A-B29F-B373297A2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Application>LibreOffice/7.3.1.3$Windows_X86_64 LibreOffice_project/a69ca51ded25f3eefd52d7bf9a5fad8c90b87951</Application>
  <AppVersion>15.0000</AppVersion>
  <Pages>34</Pages>
  <Words>8551</Words>
  <Characters>51522</Characters>
  <CharactersWithSpaces>59264</CharactersWithSpaces>
  <Paragraphs>728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2022-05-11T08:02:00Z</dcterms:created>
  <dc:creator>PIERSTONE2</dc:creator>
  <dc:description/>
  <dc:language>cs-CZ</dc:language>
  <cp:lastModifiedBy/>
  <cp:lastPrinted>2022-05-10T04:06:00Z</cp:lastPrinted>
  <dcterms:modified xsi:type="dcterms:W3CDTF">2022-05-12T16:32:06Z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0x01010008FB1EA64206CC4DA2AC589EEF45B116</vt:lpwstr>
  </property>
</Properties>
</file>